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EE0C" w14:textId="77777777" w:rsidR="00CD65BA" w:rsidRDefault="00CD65BA" w:rsidP="00AD1311">
      <w:pPr>
        <w:pStyle w:val="Koptekst1"/>
      </w:pPr>
      <w:bookmarkStart w:id="0" w:name="_GoBack"/>
      <w:bookmarkEnd w:id="0"/>
    </w:p>
    <w:p w14:paraId="67EE141B" w14:textId="77777777" w:rsidR="00913A83" w:rsidRDefault="00913A83" w:rsidP="00AD1311">
      <w:pPr>
        <w:pStyle w:val="Koptekst1"/>
      </w:pPr>
    </w:p>
    <w:p w14:paraId="3386302B" w14:textId="77777777" w:rsidR="00913A83" w:rsidRDefault="00913A83" w:rsidP="00AD1311">
      <w:pPr>
        <w:pStyle w:val="Koptekst1"/>
        <w:sectPr w:rsidR="00913A83" w:rsidSect="00C5158E">
          <w:headerReference w:type="default" r:id="rId12"/>
          <w:footerReference w:type="default" r:id="rId13"/>
          <w:headerReference w:type="first" r:id="rId14"/>
          <w:footerReference w:type="first" r:id="rId15"/>
          <w:pgSz w:w="11906" w:h="16838" w:code="9"/>
          <w:pgMar w:top="2041" w:right="1021" w:bottom="1559" w:left="1361" w:header="1701" w:footer="567" w:gutter="0"/>
          <w:cols w:space="708"/>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051"/>
      </w:tblGrid>
      <w:tr w:rsidR="00913A83" w14:paraId="6316FD7B" w14:textId="77777777" w:rsidTr="00161727">
        <w:tc>
          <w:tcPr>
            <w:tcW w:w="1361" w:type="dxa"/>
          </w:tcPr>
          <w:p w14:paraId="3DF2ABBA" w14:textId="77777777" w:rsidR="00913A83" w:rsidRPr="00410FE0" w:rsidRDefault="00816868" w:rsidP="00410FE0">
            <w:pPr>
              <w:pStyle w:val="Header-item"/>
            </w:pPr>
            <w:r>
              <w:t>Aan</w:t>
            </w:r>
          </w:p>
        </w:tc>
        <w:tc>
          <w:tcPr>
            <w:tcW w:w="8051" w:type="dxa"/>
            <w:tcMar>
              <w:bottom w:w="130" w:type="dxa"/>
              <w:right w:w="0" w:type="dxa"/>
            </w:tcMar>
          </w:tcPr>
          <w:p w14:paraId="21B2CAB3" w14:textId="77777777" w:rsidR="00913A83" w:rsidRPr="00007495" w:rsidRDefault="00DA6DF9" w:rsidP="00913A83">
            <w:pPr>
              <w:pStyle w:val="Header-tekst"/>
            </w:pPr>
            <w:r>
              <w:t>Dagelijks Bestuur van de Vervoerregio Amsterdam</w:t>
            </w:r>
          </w:p>
        </w:tc>
      </w:tr>
      <w:tr w:rsidR="00913A83" w:rsidRPr="00DA6DF9" w14:paraId="750F46E4" w14:textId="77777777" w:rsidTr="00161727">
        <w:tc>
          <w:tcPr>
            <w:tcW w:w="1361" w:type="dxa"/>
          </w:tcPr>
          <w:p w14:paraId="04074A54" w14:textId="77777777" w:rsidR="00913A83" w:rsidRPr="00410FE0" w:rsidRDefault="00816868" w:rsidP="00410FE0">
            <w:pPr>
              <w:pStyle w:val="Header-item"/>
            </w:pPr>
            <w:r>
              <w:t>Van</w:t>
            </w:r>
          </w:p>
        </w:tc>
        <w:tc>
          <w:tcPr>
            <w:tcW w:w="8051" w:type="dxa"/>
            <w:tcMar>
              <w:bottom w:w="130" w:type="dxa"/>
              <w:right w:w="0" w:type="dxa"/>
            </w:tcMar>
          </w:tcPr>
          <w:p w14:paraId="26BB288C" w14:textId="29FAC610" w:rsidR="00913A83" w:rsidRPr="00DA6DF9" w:rsidRDefault="00024D1C" w:rsidP="00913A83">
            <w:pPr>
              <w:pStyle w:val="Header-tekst"/>
            </w:pPr>
            <w:r>
              <w:t>Projectteam</w:t>
            </w:r>
            <w:r w:rsidR="00DA6DF9" w:rsidRPr="00DA6DF9">
              <w:t xml:space="preserve"> aan</w:t>
            </w:r>
            <w:r w:rsidR="00DA6DF9">
              <w:t>besteding Zaanstreek-Waterland 2022</w:t>
            </w:r>
          </w:p>
        </w:tc>
      </w:tr>
      <w:tr w:rsidR="00913A83" w14:paraId="2BB297F7" w14:textId="77777777" w:rsidTr="00161727">
        <w:tc>
          <w:tcPr>
            <w:tcW w:w="1361" w:type="dxa"/>
          </w:tcPr>
          <w:p w14:paraId="661F9655" w14:textId="77777777" w:rsidR="00913A83" w:rsidRDefault="00816868" w:rsidP="00410FE0">
            <w:pPr>
              <w:pStyle w:val="Header-item"/>
            </w:pPr>
            <w:r>
              <w:t>Datum</w:t>
            </w:r>
          </w:p>
        </w:tc>
        <w:tc>
          <w:tcPr>
            <w:tcW w:w="8051" w:type="dxa"/>
            <w:tcMar>
              <w:bottom w:w="130" w:type="dxa"/>
              <w:right w:w="0" w:type="dxa"/>
            </w:tcMar>
          </w:tcPr>
          <w:p w14:paraId="64D71E4F" w14:textId="77777777" w:rsidR="00913A83" w:rsidRPr="00007495" w:rsidRDefault="00DA6DF9" w:rsidP="00913A83">
            <w:pPr>
              <w:pStyle w:val="Header-tekst"/>
            </w:pPr>
            <w:r>
              <w:t>23 mei 2019</w:t>
            </w:r>
          </w:p>
        </w:tc>
      </w:tr>
      <w:tr w:rsidR="00913A83" w14:paraId="00ADF027" w14:textId="77777777" w:rsidTr="00161727">
        <w:tc>
          <w:tcPr>
            <w:tcW w:w="1361" w:type="dxa"/>
          </w:tcPr>
          <w:p w14:paraId="7D7C9B58" w14:textId="77777777" w:rsidR="00913A83" w:rsidRDefault="00816868" w:rsidP="00913A83">
            <w:pPr>
              <w:pStyle w:val="Header-item"/>
            </w:pPr>
            <w:r>
              <w:t>Betreft</w:t>
            </w:r>
          </w:p>
        </w:tc>
        <w:tc>
          <w:tcPr>
            <w:tcW w:w="8051" w:type="dxa"/>
            <w:tcMar>
              <w:bottom w:w="936" w:type="dxa"/>
              <w:right w:w="0" w:type="dxa"/>
            </w:tcMar>
          </w:tcPr>
          <w:p w14:paraId="30607D26" w14:textId="4A72E4A4" w:rsidR="00913A83" w:rsidRPr="00007495" w:rsidRDefault="00DA6DF9" w:rsidP="00DA6DF9">
            <w:r>
              <w:t>Resultaten burger</w:t>
            </w:r>
            <w:r w:rsidR="008F349C">
              <w:t>-/stakeholder</w:t>
            </w:r>
            <w:r>
              <w:t>participatie aanbesteding Zaanstreek-Waterland 2022</w:t>
            </w:r>
          </w:p>
        </w:tc>
      </w:tr>
    </w:tbl>
    <w:p w14:paraId="2BE2B760" w14:textId="40482093" w:rsidR="004A2524" w:rsidRPr="0001300E" w:rsidRDefault="00DA6DF9" w:rsidP="0001300E">
      <w:pPr>
        <w:pStyle w:val="Onderwerp"/>
      </w:pPr>
      <w:r>
        <w:t>Resultaten burger</w:t>
      </w:r>
      <w:r w:rsidR="008F349C">
        <w:t>- en stakeholder</w:t>
      </w:r>
      <w:r>
        <w:t>participatie aanbesteding Zaanstreek-Waterland 2022</w:t>
      </w:r>
    </w:p>
    <w:p w14:paraId="33A1A1FD" w14:textId="77777777" w:rsidR="00C5158E" w:rsidRDefault="00DA6DF9" w:rsidP="00816868">
      <w:pPr>
        <w:pStyle w:val="Tussenkop"/>
      </w:pPr>
      <w:r>
        <w:t>Achtergrond</w:t>
      </w:r>
    </w:p>
    <w:p w14:paraId="7C07EC26" w14:textId="0792361B" w:rsidR="005275FC" w:rsidRDefault="005275FC" w:rsidP="005275FC">
      <w:pPr>
        <w:pStyle w:val="Geenafstand"/>
      </w:pPr>
      <w:r>
        <w:t xml:space="preserve">De Regioraad heeft in de voorsessie van haar vergadering op 11 december 2018 gesproken over het </w:t>
      </w:r>
      <w:r>
        <w:rPr>
          <w:i/>
        </w:rPr>
        <w:t xml:space="preserve">proces totstandkoming Programma van Eisen </w:t>
      </w:r>
      <w:r>
        <w:t>van de</w:t>
      </w:r>
      <w:r w:rsidRPr="004F4B95">
        <w:t xml:space="preserve"> concessie Zaanstreek-Waterland 2022</w:t>
      </w:r>
      <w:r>
        <w:t xml:space="preserve">. Het </w:t>
      </w:r>
      <w:proofErr w:type="spellStart"/>
      <w:r>
        <w:t>ontwerp-Programma</w:t>
      </w:r>
      <w:proofErr w:type="spellEnd"/>
      <w:r>
        <w:t xml:space="preserve"> van Eisen ligt in de vergadering van het Dagelijks Bestuur van 29 mei 2019 voor ter besluitvorming. Dit memo beschrijft op welke wijze gevolg is gegeven aan de oproep van </w:t>
      </w:r>
      <w:r w:rsidR="00251605">
        <w:t>de Regioraad</w:t>
      </w:r>
      <w:r>
        <w:t xml:space="preserve"> om vóór publicatie van het </w:t>
      </w:r>
      <w:proofErr w:type="spellStart"/>
      <w:r>
        <w:t>ontwerp-Programma</w:t>
      </w:r>
      <w:proofErr w:type="spellEnd"/>
      <w:r>
        <w:t xml:space="preserve"> van Eisen reeds bewoners en reizigers te betrekken (hierna genoemd: burgerparticipatie). Daarnaast heeft de Regioraad ook opgeroepen om gemeenteraden nauw te betrekken bij het opstellen van het </w:t>
      </w:r>
      <w:proofErr w:type="spellStart"/>
      <w:r>
        <w:t>ontwerp-Programma</w:t>
      </w:r>
      <w:proofErr w:type="spellEnd"/>
      <w:r>
        <w:t xml:space="preserve"> van Eisen. Ook daar wordt in dit memo verslag van gedaan</w:t>
      </w:r>
      <w:r w:rsidR="005A1D80">
        <w:rPr>
          <w:rStyle w:val="Voetnootmarkering"/>
        </w:rPr>
        <w:footnoteReference w:id="1"/>
      </w:r>
      <w:r>
        <w:t xml:space="preserve">. Als laatste staat het memo stil bij het meenemen van de uitkomsten van de burgerparticipatie in het </w:t>
      </w:r>
      <w:proofErr w:type="spellStart"/>
      <w:r>
        <w:t>ontwerp-Programma</w:t>
      </w:r>
      <w:proofErr w:type="spellEnd"/>
      <w:r>
        <w:t xml:space="preserve"> van Eisen.</w:t>
      </w:r>
    </w:p>
    <w:p w14:paraId="56FB6DC8" w14:textId="77777777" w:rsidR="005275FC" w:rsidRDefault="005275FC" w:rsidP="005275FC">
      <w:pPr>
        <w:pStyle w:val="Geenafstand"/>
      </w:pPr>
    </w:p>
    <w:p w14:paraId="0AB57A28" w14:textId="77777777" w:rsidR="0062024D" w:rsidRPr="006814D5" w:rsidRDefault="0062024D" w:rsidP="00DA6DF9">
      <w:pPr>
        <w:pStyle w:val="Lijst-letters"/>
        <w:numPr>
          <w:ilvl w:val="0"/>
          <w:numId w:val="0"/>
        </w:numPr>
        <w:ind w:left="227" w:hanging="227"/>
        <w:rPr>
          <w:u w:val="single"/>
        </w:rPr>
      </w:pPr>
      <w:r w:rsidRPr="006814D5">
        <w:rPr>
          <w:u w:val="single"/>
        </w:rPr>
        <w:t>Bijlagen</w:t>
      </w:r>
    </w:p>
    <w:p w14:paraId="6F1BFAA3" w14:textId="7C8F3107" w:rsidR="0062024D" w:rsidRDefault="0062024D" w:rsidP="00542877">
      <w:pPr>
        <w:pStyle w:val="Lijst-letters"/>
        <w:numPr>
          <w:ilvl w:val="0"/>
          <w:numId w:val="21"/>
        </w:numPr>
      </w:pPr>
      <w:r>
        <w:t>Rapport</w:t>
      </w:r>
      <w:r w:rsidR="003D13D7">
        <w:t xml:space="preserve">age Raadpleging Bewoners Representatief </w:t>
      </w:r>
      <w:proofErr w:type="spellStart"/>
      <w:r w:rsidR="003D13D7">
        <w:t>ZaWa</w:t>
      </w:r>
      <w:proofErr w:type="spellEnd"/>
      <w:r w:rsidR="003D13D7">
        <w:t xml:space="preserve"> 202</w:t>
      </w:r>
      <w:r w:rsidR="00020814">
        <w:t>1-2031</w:t>
      </w:r>
    </w:p>
    <w:p w14:paraId="1F6B4291" w14:textId="7B7C4D17" w:rsidR="0062024D" w:rsidRDefault="0062024D" w:rsidP="00542877">
      <w:pPr>
        <w:pStyle w:val="Lijst-letters"/>
        <w:numPr>
          <w:ilvl w:val="0"/>
          <w:numId w:val="21"/>
        </w:numPr>
      </w:pPr>
      <w:r>
        <w:t>Rapport</w:t>
      </w:r>
      <w:r w:rsidR="003D13D7">
        <w:t xml:space="preserve">age </w:t>
      </w:r>
      <w:r w:rsidR="00020814">
        <w:t xml:space="preserve">Raadpleging Panel Vervoerregio </w:t>
      </w:r>
      <w:proofErr w:type="spellStart"/>
      <w:r w:rsidR="00020814">
        <w:t>ZaWa</w:t>
      </w:r>
      <w:proofErr w:type="spellEnd"/>
      <w:r w:rsidR="00020814">
        <w:t xml:space="preserve"> 2021-2031</w:t>
      </w:r>
    </w:p>
    <w:p w14:paraId="70E5782F" w14:textId="335F7EAD" w:rsidR="0062024D" w:rsidRDefault="0062024D" w:rsidP="00542877">
      <w:pPr>
        <w:pStyle w:val="Lijst-letters"/>
        <w:numPr>
          <w:ilvl w:val="0"/>
          <w:numId w:val="21"/>
        </w:numPr>
      </w:pPr>
      <w:r>
        <w:t>Rapport</w:t>
      </w:r>
      <w:r w:rsidR="00C67CFD">
        <w:t xml:space="preserve">age Raadpleging Stakeholders </w:t>
      </w:r>
      <w:r w:rsidR="003D13D7">
        <w:t xml:space="preserve">OV-game </w:t>
      </w:r>
      <w:proofErr w:type="spellStart"/>
      <w:r w:rsidR="003D13D7">
        <w:t>ZaWa</w:t>
      </w:r>
      <w:proofErr w:type="spellEnd"/>
      <w:r w:rsidR="00A42F2F">
        <w:t xml:space="preserve"> 2021-2031</w:t>
      </w:r>
    </w:p>
    <w:p w14:paraId="1CA8F82C" w14:textId="15F3AE4B" w:rsidR="00DF6833" w:rsidRPr="00542877" w:rsidRDefault="00DF6833" w:rsidP="00542877">
      <w:pPr>
        <w:pStyle w:val="Lijst-letters"/>
        <w:numPr>
          <w:ilvl w:val="1"/>
          <w:numId w:val="21"/>
        </w:numPr>
      </w:pPr>
      <w:r w:rsidRPr="00542877">
        <w:t>Bijlage bij dit rapport</w:t>
      </w:r>
      <w:r w:rsidR="00542877" w:rsidRPr="00542877">
        <w:t>: O</w:t>
      </w:r>
      <w:r w:rsidR="00542877">
        <w:t xml:space="preserve">V-game </w:t>
      </w:r>
      <w:proofErr w:type="spellStart"/>
      <w:r w:rsidR="00542877">
        <w:t>ZaWa</w:t>
      </w:r>
      <w:proofErr w:type="spellEnd"/>
      <w:r w:rsidR="00542877">
        <w:t xml:space="preserve"> </w:t>
      </w:r>
      <w:r w:rsidR="00C67CFD">
        <w:t xml:space="preserve">- </w:t>
      </w:r>
      <w:r w:rsidR="00542877">
        <w:t xml:space="preserve">resultaten </w:t>
      </w:r>
      <w:r w:rsidR="00C67CFD">
        <w:t xml:space="preserve">- </w:t>
      </w:r>
      <w:r w:rsidR="00542877">
        <w:t>totaal</w:t>
      </w:r>
    </w:p>
    <w:p w14:paraId="7E8D6D38" w14:textId="47E5A153" w:rsidR="005275FC" w:rsidRDefault="005275FC" w:rsidP="0062024D">
      <w:pPr>
        <w:pStyle w:val="Lijst-letters"/>
        <w:numPr>
          <w:ilvl w:val="0"/>
          <w:numId w:val="0"/>
        </w:numPr>
        <w:ind w:left="227" w:hanging="227"/>
      </w:pPr>
    </w:p>
    <w:p w14:paraId="4F6AD4A1" w14:textId="77777777" w:rsidR="006814D5" w:rsidRPr="00542877" w:rsidRDefault="006814D5" w:rsidP="0062024D">
      <w:pPr>
        <w:pStyle w:val="Lijst-letters"/>
        <w:numPr>
          <w:ilvl w:val="0"/>
          <w:numId w:val="0"/>
        </w:numPr>
        <w:ind w:left="227" w:hanging="227"/>
      </w:pPr>
    </w:p>
    <w:p w14:paraId="1DE9539F" w14:textId="2000FD5E" w:rsidR="005275FC" w:rsidRPr="00A42F2F" w:rsidRDefault="005275FC" w:rsidP="005275FC">
      <w:pPr>
        <w:pStyle w:val="Geenafstand"/>
        <w:rPr>
          <w:b/>
        </w:rPr>
      </w:pPr>
      <w:r w:rsidRPr="00A42F2F">
        <w:rPr>
          <w:b/>
        </w:rPr>
        <w:t>Serious Gaming als participatiemethode</w:t>
      </w:r>
    </w:p>
    <w:p w14:paraId="1B39B9DB" w14:textId="23DC9D27" w:rsidR="005275FC" w:rsidRDefault="005275FC" w:rsidP="005275FC">
      <w:pPr>
        <w:pStyle w:val="Geenafstand"/>
      </w:pPr>
      <w:r>
        <w:t xml:space="preserve">Het betrekken van stakeholders dient twee doelen. Ten eerste wordt vroegtijdig betrokkenheid en draagvlak gecreëerd, waarmee begrip ontstaat voor het gegeven dat </w:t>
      </w:r>
      <w:r w:rsidR="00251605">
        <w:t xml:space="preserve">er </w:t>
      </w:r>
      <w:r>
        <w:t>soms lastige afwegingen bij het opstellen van een Programma van Eisen moeten worden gemaakt. Ten tweede raken stakeholders bekend met inhoudelijke kwesties die rondom de aanbesteding spelen en zijn ze zo beter in staat om de gevolgen hun eígen keuzes en standpunten in te schatten.</w:t>
      </w:r>
    </w:p>
    <w:p w14:paraId="049C7072" w14:textId="77777777" w:rsidR="00A84405" w:rsidRDefault="00A84405" w:rsidP="00A84405">
      <w:pPr>
        <w:pStyle w:val="Geenafstand"/>
      </w:pPr>
    </w:p>
    <w:p w14:paraId="40E680D2" w14:textId="67F5BC56" w:rsidR="005275FC" w:rsidRDefault="005275FC" w:rsidP="00A84405">
      <w:pPr>
        <w:pStyle w:val="Geenafstand"/>
      </w:pPr>
      <w:r>
        <w:t xml:space="preserve">De aanbesteding Zaanstreek-Waterland is de eerste aanbesteding van openbaar vervoer in de Vervoerregio waarbij het Beleidskader Mobiliteit het leidende beleidsdocument is. Het projectteam heeft er daarom voor gekozen om </w:t>
      </w:r>
      <w:r w:rsidR="006D768B">
        <w:t xml:space="preserve">de </w:t>
      </w:r>
      <w:r w:rsidR="00FB4B78">
        <w:t>maatregelen die deelnemers in de participatie worden voorgelegd</w:t>
      </w:r>
      <w:r>
        <w:t xml:space="preserve"> te </w:t>
      </w:r>
      <w:r>
        <w:lastRenderedPageBreak/>
        <w:t>baseren op dit document</w:t>
      </w:r>
      <w:r w:rsidR="00D34B41">
        <w:t>. Dus</w:t>
      </w:r>
      <w:r>
        <w:t xml:space="preserve"> niet alleen op het reeds bestaande OV-aanbod in de concessies Zaanstreek en Waterland. </w:t>
      </w:r>
    </w:p>
    <w:p w14:paraId="65E8DA38" w14:textId="77777777" w:rsidR="005275FC" w:rsidRDefault="005275FC" w:rsidP="005275FC">
      <w:pPr>
        <w:pStyle w:val="Geenafstand"/>
      </w:pPr>
    </w:p>
    <w:p w14:paraId="31087FB2" w14:textId="77777777" w:rsidR="005275FC" w:rsidRDefault="005275FC" w:rsidP="005275FC">
      <w:pPr>
        <w:pStyle w:val="Geenafstand"/>
      </w:pPr>
      <w:r>
        <w:t xml:space="preserve">Het op deze schaal vroegtijdig betrekken van bewoners en reizigers is nieuw in de aanbesteding van OV-concessies. De Vervoerregio heeft bij de burgerparticipatie gebruik gemaakt van de mogelijkheden die digitalisering en </w:t>
      </w:r>
      <w:proofErr w:type="spellStart"/>
      <w:r>
        <w:t>social</w:t>
      </w:r>
      <w:proofErr w:type="spellEnd"/>
      <w:r>
        <w:t xml:space="preserve"> media bieden voor het bereiken en betrekken van een groot publiek. Hiermee is een nieuwe, innovatieve stap gezet.</w:t>
      </w:r>
    </w:p>
    <w:p w14:paraId="2E1791FA" w14:textId="77777777" w:rsidR="005275FC" w:rsidRDefault="005275FC" w:rsidP="005275FC">
      <w:pPr>
        <w:pStyle w:val="Geenafstand"/>
      </w:pPr>
    </w:p>
    <w:p w14:paraId="5947F424" w14:textId="77777777" w:rsidR="005275FC" w:rsidRPr="00EB33D8" w:rsidRDefault="005275FC" w:rsidP="005275FC">
      <w:pPr>
        <w:pStyle w:val="Geenafstand"/>
        <w:rPr>
          <w:i/>
        </w:rPr>
      </w:pPr>
      <w:r>
        <w:rPr>
          <w:i/>
        </w:rPr>
        <w:t>W</w:t>
      </w:r>
      <w:r w:rsidRPr="00EB33D8">
        <w:rPr>
          <w:i/>
        </w:rPr>
        <w:t>at is een serious game?</w:t>
      </w:r>
    </w:p>
    <w:p w14:paraId="386DFE7E" w14:textId="44C3614A" w:rsidR="005275FC" w:rsidRDefault="00240576" w:rsidP="005275FC">
      <w:pPr>
        <w:pStyle w:val="Geenafstand"/>
      </w:pPr>
      <w:r>
        <w:t>Bij de participatie</w:t>
      </w:r>
      <w:r w:rsidR="005275FC">
        <w:t xml:space="preserve"> is de serious game ingezet om deelnemers bewust te maken van de samenhang tussen de verschillende denkbare maatregelen en de kosten daarvan. Hierbij is gebruik gemaakt van een bestaande methode van het adviesbureau Inno-V die vaker is gebruikt bij het voorbereiden van aanbestedingen van openbaar vervoer. Op basis van het Beleidskader Mobiliteit</w:t>
      </w:r>
      <w:r w:rsidR="005275FC">
        <w:rPr>
          <w:rStyle w:val="Voetnootmarkering"/>
        </w:rPr>
        <w:footnoteReference w:id="2"/>
      </w:r>
      <w:r w:rsidR="005275FC">
        <w:t xml:space="preserve"> en het bestaande OV-aanbod in de concessies Zaanstreek en Waterland zijn maatregelen uitgewerkt die voorgeschreven zouden kunnen worden in de nieuwe concessie Zaanstreek-Waterland. Van de (papieren) serious game is vervolgens een digitale variant ontwikkeld.</w:t>
      </w:r>
    </w:p>
    <w:p w14:paraId="6EC8F373" w14:textId="77777777" w:rsidR="005275FC" w:rsidRDefault="005275FC" w:rsidP="005275FC">
      <w:pPr>
        <w:pStyle w:val="Geenafstand"/>
      </w:pPr>
    </w:p>
    <w:p w14:paraId="2E306E27" w14:textId="77777777" w:rsidR="005275FC" w:rsidRDefault="005275FC" w:rsidP="005275FC">
      <w:pPr>
        <w:pStyle w:val="Geenafstand"/>
        <w:rPr>
          <w:i/>
        </w:rPr>
      </w:pPr>
      <w:r>
        <w:rPr>
          <w:i/>
        </w:rPr>
        <w:t>Wie hebben deelgenomen aan de participatie?</w:t>
      </w:r>
    </w:p>
    <w:p w14:paraId="12FE8CE3" w14:textId="520EEF9A" w:rsidR="005275FC" w:rsidRPr="003C6406" w:rsidRDefault="005275FC" w:rsidP="005275FC">
      <w:pPr>
        <w:pStyle w:val="Geenafstand"/>
      </w:pPr>
      <w:r>
        <w:t xml:space="preserve">De Vervoerregio heeft vier doelgroepen </w:t>
      </w:r>
      <w:r w:rsidR="00C75090">
        <w:t>onderscheide</w:t>
      </w:r>
      <w:r>
        <w:t xml:space="preserve">n </w:t>
      </w:r>
      <w:r w:rsidR="00C75090">
        <w:t xml:space="preserve">die </w:t>
      </w:r>
      <w:r>
        <w:t>bij de voorbereiding van de aanbesteding</w:t>
      </w:r>
      <w:r w:rsidR="00C75090">
        <w:t xml:space="preserve"> betrokken </w:t>
      </w:r>
      <w:r w:rsidR="00A97709">
        <w:t>moeten worden</w:t>
      </w:r>
      <w:r>
        <w:t xml:space="preserve"> (zie tabel 1). Per doelgroep is een passende participatiemethode gebruikt. Het spelelement uit de serious game is bij </w:t>
      </w:r>
      <w:r w:rsidRPr="00C25BE1">
        <w:t xml:space="preserve">veel </w:t>
      </w:r>
      <w:r>
        <w:t>participatiemethoden gehanteerd.</w:t>
      </w:r>
    </w:p>
    <w:p w14:paraId="4A6F9537" w14:textId="77777777" w:rsidR="005275FC" w:rsidRDefault="005275FC" w:rsidP="005275FC">
      <w:pPr>
        <w:pStyle w:val="Geenafstand"/>
      </w:pPr>
    </w:p>
    <w:tbl>
      <w:tblPr>
        <w:tblStyle w:val="Tabelraster"/>
        <w:tblW w:w="9062" w:type="dxa"/>
        <w:tblLook w:val="04A0" w:firstRow="1" w:lastRow="0" w:firstColumn="1" w:lastColumn="0" w:noHBand="0" w:noVBand="1"/>
      </w:tblPr>
      <w:tblGrid>
        <w:gridCol w:w="498"/>
        <w:gridCol w:w="2474"/>
        <w:gridCol w:w="3402"/>
        <w:gridCol w:w="2688"/>
      </w:tblGrid>
      <w:tr w:rsidR="005275FC" w14:paraId="49405AB9" w14:textId="77777777" w:rsidTr="00CC3462">
        <w:tc>
          <w:tcPr>
            <w:tcW w:w="2972" w:type="dxa"/>
            <w:gridSpan w:val="2"/>
          </w:tcPr>
          <w:p w14:paraId="35BC3406" w14:textId="77777777" w:rsidR="005275FC" w:rsidRPr="00BD2986" w:rsidRDefault="005275FC" w:rsidP="00CC3462">
            <w:pPr>
              <w:pStyle w:val="Geenafstand"/>
              <w:rPr>
                <w:b/>
              </w:rPr>
            </w:pPr>
            <w:r w:rsidRPr="00BD2986">
              <w:rPr>
                <w:b/>
              </w:rPr>
              <w:t>Doelgroep</w:t>
            </w:r>
          </w:p>
        </w:tc>
        <w:tc>
          <w:tcPr>
            <w:tcW w:w="3402" w:type="dxa"/>
          </w:tcPr>
          <w:p w14:paraId="1024AA3E" w14:textId="77777777" w:rsidR="005275FC" w:rsidRPr="00BD2986" w:rsidRDefault="005275FC" w:rsidP="00CC3462">
            <w:pPr>
              <w:pStyle w:val="Geenafstand"/>
              <w:rPr>
                <w:b/>
              </w:rPr>
            </w:pPr>
            <w:r w:rsidRPr="00BD2986">
              <w:rPr>
                <w:b/>
              </w:rPr>
              <w:t>Methode</w:t>
            </w:r>
          </w:p>
        </w:tc>
        <w:tc>
          <w:tcPr>
            <w:tcW w:w="2688" w:type="dxa"/>
          </w:tcPr>
          <w:p w14:paraId="69A3BAC1" w14:textId="77777777" w:rsidR="005275FC" w:rsidRPr="00BD2986" w:rsidRDefault="005275FC" w:rsidP="00CC3462">
            <w:pPr>
              <w:pStyle w:val="Geenafstand"/>
              <w:rPr>
                <w:b/>
              </w:rPr>
            </w:pPr>
            <w:r>
              <w:rPr>
                <w:b/>
              </w:rPr>
              <w:t>Gerealiseerd bereik</w:t>
            </w:r>
          </w:p>
        </w:tc>
      </w:tr>
      <w:tr w:rsidR="005275FC" w14:paraId="1EFE698E" w14:textId="77777777" w:rsidTr="00CC3462">
        <w:tc>
          <w:tcPr>
            <w:tcW w:w="2972" w:type="dxa"/>
            <w:gridSpan w:val="2"/>
          </w:tcPr>
          <w:p w14:paraId="44E55887" w14:textId="77777777" w:rsidR="005275FC" w:rsidRDefault="005275FC" w:rsidP="00CC3462">
            <w:pPr>
              <w:pStyle w:val="Geenafstand"/>
            </w:pPr>
            <w:r>
              <w:t>Stakeholders Vervoerregio</w:t>
            </w:r>
          </w:p>
        </w:tc>
        <w:tc>
          <w:tcPr>
            <w:tcW w:w="3402" w:type="dxa"/>
          </w:tcPr>
          <w:p w14:paraId="2D820D68" w14:textId="77777777" w:rsidR="005275FC" w:rsidRPr="00C41B5A" w:rsidRDefault="005275FC" w:rsidP="00CC3462">
            <w:pPr>
              <w:pStyle w:val="Geenafstand"/>
            </w:pPr>
            <w:r>
              <w:t xml:space="preserve">Interactieve </w:t>
            </w:r>
            <w:r w:rsidRPr="00BC787A">
              <w:t>serious game</w:t>
            </w:r>
            <w:r>
              <w:t xml:space="preserve"> met één of meerdere sessies per groep stakeholders</w:t>
            </w:r>
            <w:r>
              <w:rPr>
                <w:rStyle w:val="Voetnootmarkering"/>
              </w:rPr>
              <w:footnoteReference w:id="3"/>
            </w:r>
          </w:p>
        </w:tc>
        <w:tc>
          <w:tcPr>
            <w:tcW w:w="2688" w:type="dxa"/>
          </w:tcPr>
          <w:p w14:paraId="71492ADE" w14:textId="77777777" w:rsidR="005275FC" w:rsidRDefault="005275FC" w:rsidP="00CC3462">
            <w:pPr>
              <w:pStyle w:val="Geenafstand"/>
            </w:pPr>
            <w:r>
              <w:t>Alle stakeholders van de Vervoerregio die betrokken zijn bij de aanbesteding</w:t>
            </w:r>
          </w:p>
        </w:tc>
      </w:tr>
      <w:tr w:rsidR="005275FC" w14:paraId="6802B468" w14:textId="77777777" w:rsidTr="00CC3462">
        <w:tc>
          <w:tcPr>
            <w:tcW w:w="498" w:type="dxa"/>
            <w:vMerge w:val="restart"/>
            <w:textDirection w:val="btLr"/>
            <w:vAlign w:val="center"/>
          </w:tcPr>
          <w:p w14:paraId="21243D70" w14:textId="77777777" w:rsidR="005275FC" w:rsidRDefault="005275FC" w:rsidP="00CC3462">
            <w:pPr>
              <w:pStyle w:val="Geenafstand"/>
              <w:ind w:left="113" w:right="113"/>
              <w:jc w:val="center"/>
            </w:pPr>
            <w:r>
              <w:t>Burgerparticipatie</w:t>
            </w:r>
          </w:p>
        </w:tc>
        <w:tc>
          <w:tcPr>
            <w:tcW w:w="2474" w:type="dxa"/>
          </w:tcPr>
          <w:p w14:paraId="0655A4CB" w14:textId="77777777" w:rsidR="005275FC" w:rsidRDefault="005275FC" w:rsidP="00CC3462">
            <w:pPr>
              <w:pStyle w:val="Geenafstand"/>
            </w:pPr>
            <w:r>
              <w:t>Selectie van bewoners Zaanstreek-Waterland</w:t>
            </w:r>
          </w:p>
        </w:tc>
        <w:tc>
          <w:tcPr>
            <w:tcW w:w="3402" w:type="dxa"/>
          </w:tcPr>
          <w:p w14:paraId="1E9FAE94" w14:textId="77777777" w:rsidR="005275FC" w:rsidRDefault="005275FC" w:rsidP="00CC3462">
            <w:pPr>
              <w:pStyle w:val="Geenafstand"/>
            </w:pPr>
            <w:r>
              <w:t>Uitgebreide digitale enquête onder een geselecteerde groep bewoners</w:t>
            </w:r>
          </w:p>
        </w:tc>
        <w:tc>
          <w:tcPr>
            <w:tcW w:w="2688" w:type="dxa"/>
          </w:tcPr>
          <w:p w14:paraId="6EF92B65" w14:textId="77777777" w:rsidR="005275FC" w:rsidRDefault="005275FC" w:rsidP="00CC3462">
            <w:pPr>
              <w:pStyle w:val="Geenafstand"/>
            </w:pPr>
            <w:r>
              <w:t>482 bewoners die gezamenlijk representatief zijn voor de bevolking van het gehele concessiegebied</w:t>
            </w:r>
          </w:p>
        </w:tc>
      </w:tr>
      <w:tr w:rsidR="005275FC" w14:paraId="3BAD6E38" w14:textId="77777777" w:rsidTr="00CC3462">
        <w:trPr>
          <w:trHeight w:val="70"/>
        </w:trPr>
        <w:tc>
          <w:tcPr>
            <w:tcW w:w="498" w:type="dxa"/>
            <w:vMerge/>
          </w:tcPr>
          <w:p w14:paraId="4ACFD737" w14:textId="77777777" w:rsidR="005275FC" w:rsidRDefault="005275FC" w:rsidP="00CC3462">
            <w:pPr>
              <w:pStyle w:val="Geenafstand"/>
            </w:pPr>
          </w:p>
        </w:tc>
        <w:tc>
          <w:tcPr>
            <w:tcW w:w="2474" w:type="dxa"/>
            <w:vMerge w:val="restart"/>
          </w:tcPr>
          <w:p w14:paraId="2280463A" w14:textId="77777777" w:rsidR="005275FC" w:rsidRDefault="005275FC" w:rsidP="00CC3462">
            <w:pPr>
              <w:pStyle w:val="Geenafstand"/>
            </w:pPr>
            <w:r>
              <w:t>Reizigers en bewoners Zaanstreek-Waterland</w:t>
            </w:r>
          </w:p>
        </w:tc>
        <w:tc>
          <w:tcPr>
            <w:tcW w:w="3402" w:type="dxa"/>
          </w:tcPr>
          <w:p w14:paraId="2E12F278" w14:textId="77777777" w:rsidR="005275FC" w:rsidRDefault="005275FC" w:rsidP="00CC3462">
            <w:pPr>
              <w:pStyle w:val="Geenafstand"/>
            </w:pPr>
            <w:r>
              <w:t>Korte digitale enquête voor alle geïnteresseerden</w:t>
            </w:r>
          </w:p>
        </w:tc>
        <w:tc>
          <w:tcPr>
            <w:tcW w:w="2688" w:type="dxa"/>
          </w:tcPr>
          <w:p w14:paraId="27EC9F71" w14:textId="77777777" w:rsidR="005275FC" w:rsidRDefault="005275FC" w:rsidP="00CC3462">
            <w:pPr>
              <w:pStyle w:val="Geenafstand"/>
            </w:pPr>
            <w:r>
              <w:t>1.978 respondenten</w:t>
            </w:r>
          </w:p>
        </w:tc>
      </w:tr>
      <w:tr w:rsidR="005275FC" w14:paraId="0A8A6836" w14:textId="77777777" w:rsidTr="00CC3462">
        <w:trPr>
          <w:trHeight w:val="70"/>
        </w:trPr>
        <w:tc>
          <w:tcPr>
            <w:tcW w:w="498" w:type="dxa"/>
            <w:vMerge/>
          </w:tcPr>
          <w:p w14:paraId="076A2EB7" w14:textId="77777777" w:rsidR="005275FC" w:rsidRDefault="005275FC" w:rsidP="00CC3462">
            <w:pPr>
              <w:pStyle w:val="Geenafstand"/>
            </w:pPr>
          </w:p>
        </w:tc>
        <w:tc>
          <w:tcPr>
            <w:tcW w:w="2474" w:type="dxa"/>
            <w:vMerge/>
          </w:tcPr>
          <w:p w14:paraId="0F8EEA31" w14:textId="77777777" w:rsidR="005275FC" w:rsidRDefault="005275FC" w:rsidP="00CC3462">
            <w:pPr>
              <w:pStyle w:val="Geenafstand"/>
            </w:pPr>
          </w:p>
        </w:tc>
        <w:tc>
          <w:tcPr>
            <w:tcW w:w="3402" w:type="dxa"/>
          </w:tcPr>
          <w:p w14:paraId="78BB06C1" w14:textId="617ABB12" w:rsidR="005275FC" w:rsidRDefault="005275FC" w:rsidP="00CC3462">
            <w:pPr>
              <w:pStyle w:val="Geenafstand"/>
            </w:pPr>
            <w:r>
              <w:t xml:space="preserve">Uitgebreide digitale serious game voor alle deelnemers aan de korte enquête die aangaven deel te willen nemen aan </w:t>
            </w:r>
            <w:proofErr w:type="spellStart"/>
            <w:r>
              <w:t>vervolg</w:t>
            </w:r>
            <w:r w:rsidR="00F041D5">
              <w:t>-</w:t>
            </w:r>
            <w:r>
              <w:t>onderzoek</w:t>
            </w:r>
            <w:proofErr w:type="spellEnd"/>
            <w:r w:rsidR="00F041D5">
              <w:t xml:space="preserve"> (“Panel Vervoerregio”)</w:t>
            </w:r>
          </w:p>
        </w:tc>
        <w:tc>
          <w:tcPr>
            <w:tcW w:w="2688" w:type="dxa"/>
          </w:tcPr>
          <w:p w14:paraId="39FF19B8" w14:textId="77777777" w:rsidR="005275FC" w:rsidRDefault="005275FC" w:rsidP="00CC3462">
            <w:pPr>
              <w:pStyle w:val="Geenafstand"/>
            </w:pPr>
            <w:r>
              <w:t>235 respondenten</w:t>
            </w:r>
          </w:p>
        </w:tc>
      </w:tr>
      <w:tr w:rsidR="005275FC" w14:paraId="313A15B8" w14:textId="77777777" w:rsidTr="00CC3462">
        <w:tc>
          <w:tcPr>
            <w:tcW w:w="498" w:type="dxa"/>
            <w:vMerge/>
          </w:tcPr>
          <w:p w14:paraId="7ACC9437" w14:textId="77777777" w:rsidR="005275FC" w:rsidRDefault="005275FC" w:rsidP="00CC3462">
            <w:pPr>
              <w:pStyle w:val="Geenafstand"/>
            </w:pPr>
          </w:p>
        </w:tc>
        <w:tc>
          <w:tcPr>
            <w:tcW w:w="2474" w:type="dxa"/>
          </w:tcPr>
          <w:p w14:paraId="155EEF74" w14:textId="66EAF3AC" w:rsidR="005275FC" w:rsidRPr="008C1FC3" w:rsidRDefault="005275FC" w:rsidP="00CC3462">
            <w:pPr>
              <w:pStyle w:val="Geenafstand"/>
            </w:pPr>
            <w:r w:rsidRPr="008C1FC3">
              <w:t>Bewoners inliggende gemeenten Zaanstreek-Waterland</w:t>
            </w:r>
          </w:p>
        </w:tc>
        <w:tc>
          <w:tcPr>
            <w:tcW w:w="3402" w:type="dxa"/>
          </w:tcPr>
          <w:p w14:paraId="7614F726" w14:textId="77777777" w:rsidR="005275FC" w:rsidRPr="008C1FC3" w:rsidRDefault="005275FC" w:rsidP="00CC3462">
            <w:pPr>
              <w:pStyle w:val="Geenafstand"/>
              <w:keepNext/>
            </w:pPr>
            <w:r w:rsidRPr="008C1FC3">
              <w:t>Afhankelijk van de gemeente. Alle gemeenten hebben vragen aangeleverd die in de korte digitale enquête zijn opgenomen</w:t>
            </w:r>
          </w:p>
        </w:tc>
        <w:tc>
          <w:tcPr>
            <w:tcW w:w="2688" w:type="dxa"/>
          </w:tcPr>
          <w:p w14:paraId="1D5A6DFC" w14:textId="77777777" w:rsidR="005275FC" w:rsidRPr="008C1FC3" w:rsidRDefault="005275FC" w:rsidP="00CC3462">
            <w:pPr>
              <w:pStyle w:val="Geenafstand"/>
              <w:keepNext/>
            </w:pPr>
            <w:r w:rsidRPr="008C1FC3">
              <w:t>Afhankelijk van de betreffende gemeente</w:t>
            </w:r>
          </w:p>
        </w:tc>
      </w:tr>
    </w:tbl>
    <w:p w14:paraId="1C5FFE06" w14:textId="4F0991BB" w:rsidR="005275FC" w:rsidRDefault="005275FC" w:rsidP="005275FC">
      <w:pPr>
        <w:pStyle w:val="Bijschrift"/>
      </w:pPr>
      <w:r>
        <w:t xml:space="preserve">Tabel </w:t>
      </w:r>
      <w:r w:rsidR="00703A60">
        <w:rPr>
          <w:noProof/>
        </w:rPr>
        <w:fldChar w:fldCharType="begin"/>
      </w:r>
      <w:r w:rsidR="00703A60">
        <w:rPr>
          <w:noProof/>
        </w:rPr>
        <w:instrText xml:space="preserve"> SEQ Tabel \* ARABIC </w:instrText>
      </w:r>
      <w:r w:rsidR="00703A60">
        <w:rPr>
          <w:noProof/>
        </w:rPr>
        <w:fldChar w:fldCharType="separate"/>
      </w:r>
      <w:r w:rsidR="00DF6833">
        <w:rPr>
          <w:noProof/>
        </w:rPr>
        <w:t>1</w:t>
      </w:r>
      <w:r w:rsidR="00703A60">
        <w:rPr>
          <w:noProof/>
        </w:rPr>
        <w:fldChar w:fldCharType="end"/>
      </w:r>
      <w:r>
        <w:t xml:space="preserve"> Doelgroepen participatie</w:t>
      </w:r>
    </w:p>
    <w:p w14:paraId="38ADBDA4" w14:textId="685E9615" w:rsidR="005275FC" w:rsidRPr="002E3F79" w:rsidRDefault="005275FC" w:rsidP="005275FC">
      <w:pPr>
        <w:pStyle w:val="Geenafstand"/>
        <w:rPr>
          <w:b/>
        </w:rPr>
      </w:pPr>
      <w:r>
        <w:rPr>
          <w:b/>
        </w:rPr>
        <w:lastRenderedPageBreak/>
        <w:t>Resultaten</w:t>
      </w:r>
      <w:r w:rsidR="00C35941">
        <w:rPr>
          <w:b/>
        </w:rPr>
        <w:t xml:space="preserve"> Burgerparticipatie</w:t>
      </w:r>
    </w:p>
    <w:p w14:paraId="7C510F72" w14:textId="77777777" w:rsidR="005275FC" w:rsidRPr="006F25F0" w:rsidRDefault="005275FC" w:rsidP="005275FC">
      <w:pPr>
        <w:pStyle w:val="Geenafstand"/>
      </w:pPr>
    </w:p>
    <w:p w14:paraId="4CCA8492" w14:textId="77777777" w:rsidR="005275FC" w:rsidRDefault="005275FC" w:rsidP="005275FC">
      <w:pPr>
        <w:pStyle w:val="Geenafstand"/>
        <w:rPr>
          <w:i/>
        </w:rPr>
      </w:pPr>
      <w:r>
        <w:rPr>
          <w:i/>
        </w:rPr>
        <w:t>Wijze van analyse, rapportage en terugkoppeling</w:t>
      </w:r>
    </w:p>
    <w:p w14:paraId="104CAE22" w14:textId="66355F44" w:rsidR="005275FC" w:rsidRDefault="005275FC" w:rsidP="005275FC">
      <w:pPr>
        <w:pStyle w:val="Geenafstand"/>
      </w:pPr>
      <w:r>
        <w:t xml:space="preserve">De resultaten van de game en enquêtes zijn door Inno-V gerapporteerd. De serious game </w:t>
      </w:r>
      <w:r w:rsidR="00800A06">
        <w:t>die</w:t>
      </w:r>
      <w:r>
        <w:t xml:space="preserve"> is gespeeld heeft de deelnemers ter plekke informatie opgeleverd die zij mee kunnen nemen bij hun verdere participatie in de aanbesteding. Bij de burgerparticipatie zijn de respondenten tevens over hun tevredenheid over en het belang dat zij hechten aan het huidige OV-aanbod bevraagd. Hierdoor kan een voorzichtige uitspraak gedaan worden over het effect van verschillende maatregelen op de bewoners en reizigers.</w:t>
      </w:r>
      <w:r w:rsidR="00697509">
        <w:t xml:space="preserve"> Reizigers </w:t>
      </w:r>
      <w:r w:rsidR="00333FB8">
        <w:t>blijke</w:t>
      </w:r>
      <w:r w:rsidR="00697509">
        <w:t>n over het algemeen genomen erg tevreden</w:t>
      </w:r>
      <w:r w:rsidR="00333FB8">
        <w:t xml:space="preserve"> te zijn</w:t>
      </w:r>
      <w:r w:rsidR="00697509">
        <w:t xml:space="preserve"> met het huidige aanbod</w:t>
      </w:r>
      <w:r w:rsidR="00CE2492">
        <w:t xml:space="preserve"> en </w:t>
      </w:r>
      <w:r w:rsidR="009D7000">
        <w:t>kiezen dan ook overwegend voor de maatregelen waar zij nu tevreden over zijn.</w:t>
      </w:r>
    </w:p>
    <w:p w14:paraId="66EFF128" w14:textId="77777777" w:rsidR="00A84405" w:rsidRDefault="00A84405" w:rsidP="005275FC">
      <w:pPr>
        <w:pStyle w:val="Geenafstand"/>
      </w:pPr>
    </w:p>
    <w:p w14:paraId="4F44D5A0" w14:textId="36247736" w:rsidR="005275FC" w:rsidRPr="0062460D" w:rsidRDefault="005275FC" w:rsidP="005275FC">
      <w:pPr>
        <w:pStyle w:val="Geenafstand"/>
      </w:pPr>
      <w:r>
        <w:t xml:space="preserve">De rapportages zijn als bijlage bijgevoegd bij het besluit van Dagelijks Bestuur over het </w:t>
      </w:r>
      <w:proofErr w:type="spellStart"/>
      <w:r>
        <w:t>ontwerp-Programma</w:t>
      </w:r>
      <w:proofErr w:type="spellEnd"/>
      <w:r>
        <w:t xml:space="preserve"> van Eisen. De concept-rapportages zijn besproken in de klankbordgroep van de Regioraad en de Reizigers Advies Raad. Terugkoppeling aan de deelnemers vindt wat betreft de </w:t>
      </w:r>
      <w:r w:rsidR="00601BBD">
        <w:t>papieren serious game</w:t>
      </w:r>
      <w:r>
        <w:t xml:space="preserve"> plaats door toezending van het rapport en wat betreft de burgerparticipatie via </w:t>
      </w:r>
      <w:hyperlink r:id="rId16" w:history="1">
        <w:r w:rsidRPr="003D1983">
          <w:rPr>
            <w:rStyle w:val="Hyperlink"/>
          </w:rPr>
          <w:t>www.wijnemenjemee.nl</w:t>
        </w:r>
      </w:hyperlink>
      <w:r>
        <w:t xml:space="preserve">. Deelnemers aan </w:t>
      </w:r>
      <w:r w:rsidR="005C5E49">
        <w:t>het Panel van de Ver</w:t>
      </w:r>
      <w:r w:rsidR="00601BBD">
        <w:t>v</w:t>
      </w:r>
      <w:r w:rsidR="005C5E49">
        <w:t>oerregio</w:t>
      </w:r>
      <w:r>
        <w:t xml:space="preserve"> krijgen bericht over de wijze waarop hun participatie is gebruikt bij de totstandkoming van het </w:t>
      </w:r>
      <w:proofErr w:type="spellStart"/>
      <w:r>
        <w:t>ontwerp-P</w:t>
      </w:r>
      <w:r w:rsidR="00B37B45">
        <w:t>rogramma</w:t>
      </w:r>
      <w:proofErr w:type="spellEnd"/>
      <w:r w:rsidR="00B37B45">
        <w:t xml:space="preserve"> </w:t>
      </w:r>
      <w:r>
        <w:t>v</w:t>
      </w:r>
      <w:r w:rsidR="00B37B45">
        <w:t xml:space="preserve">an </w:t>
      </w:r>
      <w:r>
        <w:t>E</w:t>
      </w:r>
      <w:r w:rsidR="00B37B45">
        <w:t>isen</w:t>
      </w:r>
      <w:r>
        <w:t>.</w:t>
      </w:r>
    </w:p>
    <w:p w14:paraId="1EC44BF8" w14:textId="77777777" w:rsidR="005275FC" w:rsidRDefault="005275FC" w:rsidP="005275FC">
      <w:pPr>
        <w:pStyle w:val="Geenafstand"/>
      </w:pPr>
    </w:p>
    <w:p w14:paraId="6BA331B2" w14:textId="51946EBD" w:rsidR="005275FC" w:rsidRDefault="005275FC" w:rsidP="005275FC">
      <w:pPr>
        <w:pStyle w:val="Geenafstand"/>
        <w:rPr>
          <w:i/>
        </w:rPr>
      </w:pPr>
      <w:r>
        <w:rPr>
          <w:i/>
        </w:rPr>
        <w:t xml:space="preserve">Hoe zijn de resultaten van de </w:t>
      </w:r>
      <w:r w:rsidR="004C3625">
        <w:rPr>
          <w:i/>
        </w:rPr>
        <w:t>burger</w:t>
      </w:r>
      <w:r>
        <w:rPr>
          <w:i/>
        </w:rPr>
        <w:t xml:space="preserve">participatie verwerkt in het </w:t>
      </w:r>
      <w:proofErr w:type="spellStart"/>
      <w:r>
        <w:rPr>
          <w:i/>
        </w:rPr>
        <w:t>ontwerp-Programma</w:t>
      </w:r>
      <w:proofErr w:type="spellEnd"/>
      <w:r>
        <w:rPr>
          <w:i/>
        </w:rPr>
        <w:t xml:space="preserve"> van Eisen?</w:t>
      </w:r>
    </w:p>
    <w:p w14:paraId="6EB67A3D" w14:textId="77777777" w:rsidR="005275FC" w:rsidRDefault="005275FC" w:rsidP="005275FC">
      <w:pPr>
        <w:pStyle w:val="Geenafstand"/>
      </w:pPr>
      <w:r>
        <w:t>Het (ontwerp-)Programma van Eisen beschrijft een minimum waar de vervoerder altijd aan dient te voldoen. Dit minimumniveau ligt iets hoger dan de startsituatie die bij de digitale serious games is gehanteerd, maar lager dan het huidige OV-aanbod. Op thema’s waar een aanzienlijk deel van de respondenten de startsituatie niet heeft ‘</w:t>
      </w:r>
      <w:proofErr w:type="spellStart"/>
      <w:r>
        <w:t>opgeplust</w:t>
      </w:r>
      <w:proofErr w:type="spellEnd"/>
      <w:r>
        <w:t>’ wordt in het ontwerp-</w:t>
      </w:r>
      <w:proofErr w:type="spellStart"/>
      <w:r>
        <w:t>PvE</w:t>
      </w:r>
      <w:proofErr w:type="spellEnd"/>
      <w:r>
        <w:t xml:space="preserve"> méér gevraagd dan waar de meerderheid van de respondenten voor heeft gekozen. Dit geldt bijvoorbeeld voor de mate van luxe/comfort in het materieel en de minimale frequenties in de weekenden.</w:t>
      </w:r>
    </w:p>
    <w:p w14:paraId="30F6C4E9" w14:textId="77777777" w:rsidR="00A84405" w:rsidRDefault="00A84405" w:rsidP="00A84405">
      <w:pPr>
        <w:pStyle w:val="Geenafstand"/>
      </w:pPr>
    </w:p>
    <w:p w14:paraId="651533B4" w14:textId="6C270BA6" w:rsidR="005275FC" w:rsidRDefault="005275FC" w:rsidP="00A84405">
      <w:pPr>
        <w:pStyle w:val="Geenafstand"/>
      </w:pPr>
      <w:r>
        <w:t>Naast eisen worden (als vervolgstap in het aanbestedingsproces) ook wensen opgesteld. Deze wensen worden ‘gunningscriteria’ genoemd. Het voldoen aan gunningscriteria leidt tot een hogere score en daarmee meer kans om de aanbesteding te winnen. Op deze manier kan verder invulling gegeven worden aan de uitkomsten van de burgerparticipatie.</w:t>
      </w:r>
    </w:p>
    <w:p w14:paraId="2894B66C" w14:textId="1323B27A" w:rsidR="00A84405" w:rsidRDefault="00A84405" w:rsidP="00A84405">
      <w:pPr>
        <w:pStyle w:val="Geenafstand"/>
      </w:pPr>
    </w:p>
    <w:p w14:paraId="5B82B5C1" w14:textId="7A756B69" w:rsidR="005E1900" w:rsidRPr="006B4421" w:rsidRDefault="005E1900" w:rsidP="00A84405">
      <w:pPr>
        <w:pStyle w:val="Geenafstand"/>
        <w:rPr>
          <w:u w:val="single"/>
        </w:rPr>
      </w:pPr>
      <w:r w:rsidRPr="006B4421">
        <w:rPr>
          <w:u w:val="single"/>
        </w:rPr>
        <w:t xml:space="preserve">Populaire maatregelen: spitsfrequenties, </w:t>
      </w:r>
      <w:r w:rsidR="006B4421" w:rsidRPr="006B4421">
        <w:rPr>
          <w:u w:val="single"/>
        </w:rPr>
        <w:t>nachtnet en Zero Emissie</w:t>
      </w:r>
    </w:p>
    <w:p w14:paraId="7880BDAC" w14:textId="1A9DF4FF" w:rsidR="005275FC" w:rsidRDefault="005275FC" w:rsidP="00A84405">
      <w:pPr>
        <w:pStyle w:val="Geenafstand"/>
      </w:pPr>
      <w:r>
        <w:t>Maatregelen die de startsituatie flink verbeteren en die door een meerderheid van de respondenten worden gekozen zijn grotendeels in het ontwerp-</w:t>
      </w:r>
      <w:proofErr w:type="spellStart"/>
      <w:r>
        <w:t>PvE</w:t>
      </w:r>
      <w:proofErr w:type="spellEnd"/>
      <w:r>
        <w:t xml:space="preserve"> doorgevoerd. Te denken valt dan aan de spitsfrequentie op verbindende lijnen (in de </w:t>
      </w:r>
      <w:proofErr w:type="spellStart"/>
      <w:r w:rsidR="00513F45">
        <w:t>PvE’s</w:t>
      </w:r>
      <w:proofErr w:type="spellEnd"/>
      <w:r w:rsidR="00513F45">
        <w:t xml:space="preserve"> van de </w:t>
      </w:r>
      <w:r>
        <w:t>huidige concessies Zaanstreek en Waterland wordt een minimum van 4 ritten per uur geëist, in het nu voorliggend ontwerp-</w:t>
      </w:r>
      <w:proofErr w:type="spellStart"/>
      <w:r>
        <w:t>PvE</w:t>
      </w:r>
      <w:proofErr w:type="spellEnd"/>
      <w:r>
        <w:t xml:space="preserve"> wordt een minimum van 6 ritten per uur geëist), het nachtnet wordt ook in de nieuwe concessie weer opgenomen, de vervoerder wordt verplicht vanaf de start van de concessie minimaal 80% van het OV </w:t>
      </w:r>
      <w:proofErr w:type="spellStart"/>
      <w:r>
        <w:t>uitstootloos</w:t>
      </w:r>
      <w:proofErr w:type="spellEnd"/>
      <w:r>
        <w:t xml:space="preserve"> (Zero Emissie) te laten uitvoeren en er worden eisen gesteld aan de regelmaat waarmee ritten op één lijn vertrekken om de betrouwbaarheid van het OV te verbeteren.</w:t>
      </w:r>
      <w:r w:rsidR="005F23CF">
        <w:t xml:space="preserve"> Deze drie keuzes waren ook bovengemiddeld populair in de papieren serious game.</w:t>
      </w:r>
    </w:p>
    <w:p w14:paraId="79BD9C52" w14:textId="05A6A3E4" w:rsidR="00A84405" w:rsidRDefault="00A84405" w:rsidP="00A84405">
      <w:pPr>
        <w:pStyle w:val="Geenafstand"/>
      </w:pPr>
    </w:p>
    <w:p w14:paraId="64EA2855" w14:textId="07F6C8D9" w:rsidR="006B4421" w:rsidRPr="006B4421" w:rsidRDefault="003A1369" w:rsidP="00A84405">
      <w:pPr>
        <w:pStyle w:val="Geenafstand"/>
        <w:rPr>
          <w:u w:val="single"/>
        </w:rPr>
      </w:pPr>
      <w:r>
        <w:rPr>
          <w:u w:val="single"/>
        </w:rPr>
        <w:t xml:space="preserve">Niet in </w:t>
      </w:r>
      <w:proofErr w:type="spellStart"/>
      <w:r w:rsidR="00703A60">
        <w:rPr>
          <w:u w:val="single"/>
        </w:rPr>
        <w:t>PvE</w:t>
      </w:r>
      <w:proofErr w:type="spellEnd"/>
      <w:r w:rsidR="00703A60">
        <w:rPr>
          <w:u w:val="single"/>
        </w:rPr>
        <w:t>, mogelijk gunningscriterium</w:t>
      </w:r>
      <w:r w:rsidR="006B4421">
        <w:rPr>
          <w:u w:val="single"/>
        </w:rPr>
        <w:t>: scholierenlijnen, spitslijnen en menselijk toezicht</w:t>
      </w:r>
    </w:p>
    <w:p w14:paraId="650AC703" w14:textId="78F2CEE4" w:rsidR="005275FC" w:rsidRDefault="005275FC" w:rsidP="00A84405">
      <w:pPr>
        <w:pStyle w:val="Geenafstand"/>
      </w:pPr>
      <w:r>
        <w:t>Een aantal maatregelen zijn enkel voor een kleine groep interessant (gekeken naar populariteit van de maatregel en tevredenheid over dit aspect van het OV), de zogeheten ‘niche-maatregelen’: scholierenlijnen, spitslijnen</w:t>
      </w:r>
      <w:r w:rsidR="00CB2BA6">
        <w:t xml:space="preserve"> (Amsterdam-west)</w:t>
      </w:r>
      <w:r>
        <w:t xml:space="preserve"> en menselijk toezicht. Over die onderwerpen worden in </w:t>
      </w:r>
      <w:r>
        <w:lastRenderedPageBreak/>
        <w:t>het ontwerp-</w:t>
      </w:r>
      <w:proofErr w:type="spellStart"/>
      <w:r>
        <w:t>PvE</w:t>
      </w:r>
      <w:proofErr w:type="spellEnd"/>
      <w:r>
        <w:t xml:space="preserve"> geen nadere eisen opgenomen. Gekeken kan worden in hoeverre deze onderwerpen mee kunnen wegen als gunningscriteria bij de aanbesteding.</w:t>
      </w:r>
      <w:r w:rsidR="00335503">
        <w:t xml:space="preserve"> </w:t>
      </w:r>
      <w:r>
        <w:t>Verder zijn er maatregelen die wel (boven)gemiddeld scoren maar die liggen in het domein van de wegbeheerder en niet van de vervoerder. Het gaat bijvoorbeeld om het inrichten van haltes en het plaatsen van fietsenstallingen. Ook over die onderwerpen worden in het ontwerp-</w:t>
      </w:r>
      <w:proofErr w:type="spellStart"/>
      <w:r>
        <w:t>PvE</w:t>
      </w:r>
      <w:proofErr w:type="spellEnd"/>
      <w:r>
        <w:t xml:space="preserve"> geen eisen opgenomen. Gekeken kan worden hoe deze onderwerpen door de wegbeheerder (eventueel in samenwerking met de Vervoerregio) opgepakt kunnen worden.</w:t>
      </w:r>
    </w:p>
    <w:p w14:paraId="69D7BFA9" w14:textId="1BB91A8C" w:rsidR="00DB7339" w:rsidRDefault="00DB7339" w:rsidP="00DB7339">
      <w:pPr>
        <w:pStyle w:val="Geenafstand"/>
      </w:pPr>
    </w:p>
    <w:p w14:paraId="273C3398" w14:textId="3EE0DD32" w:rsidR="003558DF" w:rsidRPr="003558DF" w:rsidRDefault="003558DF" w:rsidP="00DB7339">
      <w:pPr>
        <w:pStyle w:val="Geenafstand"/>
        <w:rPr>
          <w:u w:val="single"/>
        </w:rPr>
      </w:pPr>
      <w:r>
        <w:rPr>
          <w:u w:val="single"/>
        </w:rPr>
        <w:t>Ontsluitende lijnen en de bediening van Amsterdam Centraal: huidige aanbod kan terugk</w:t>
      </w:r>
      <w:r w:rsidR="003A1369">
        <w:rPr>
          <w:u w:val="single"/>
        </w:rPr>
        <w:t>eren</w:t>
      </w:r>
    </w:p>
    <w:p w14:paraId="2C499027" w14:textId="567F39C3" w:rsidR="005275FC" w:rsidRDefault="005275FC" w:rsidP="00DB7339">
      <w:pPr>
        <w:pStyle w:val="Geenafstand"/>
      </w:pPr>
      <w:r>
        <w:t>Ten slotte zijn er onderwerpen waarover de meningen van de respondenten zijn verdeeld. Het gaat bijvoorbeeld om het hanteren van een belbus dan wel een vaste dienstregeling op het ontsluitende lijnennet. Op deze thema’s wordt de huidige situatie als uitgangspunt genomen</w:t>
      </w:r>
      <w:r w:rsidDel="001D4EB8">
        <w:t xml:space="preserve"> </w:t>
      </w:r>
      <w:r>
        <w:t>: in dit voorbeeld wordt een vaste dienstregeling voorgeschreven voor buurtbussen en het ontsluitende lijnennet.</w:t>
      </w:r>
    </w:p>
    <w:p w14:paraId="1D2BE2D7" w14:textId="77777777" w:rsidR="005275FC" w:rsidRDefault="005275FC" w:rsidP="005275FC">
      <w:pPr>
        <w:pStyle w:val="Geenafstand"/>
      </w:pPr>
    </w:p>
    <w:p w14:paraId="37AA0E33" w14:textId="503AE9B2" w:rsidR="005275FC" w:rsidRDefault="005275FC" w:rsidP="005275FC">
      <w:pPr>
        <w:pStyle w:val="Geenafstand"/>
      </w:pPr>
      <w:r>
        <w:t>Een bijzonder thema is het doorrijden naar Amsterdam Centraal versus het eindigen op Station Noord in combinatie met een overstap op de Noord/Zuidlijn. Veel deelnemers aan de digitale game kiezen pas in de tweede ronde, wanneer zij te maken krijgen met een maximaal budget, voor het eindigen van alle buslijnen op Station Noord. Tevens geven bewoners en reizigers die deel hebben genomen aan de (korte) enquête aan een rechtstreekse verbinding met Amsterdam Centraal belangrijk te vinden. In het ontwerp-</w:t>
      </w:r>
      <w:proofErr w:type="spellStart"/>
      <w:r>
        <w:t>PvE</w:t>
      </w:r>
      <w:proofErr w:type="spellEnd"/>
      <w:r>
        <w:t xml:space="preserve"> wordt ook hier gekozen om de huidige situatie als uitgangspunt te nemen bij het formuleren van de eisen. Het is de nieuwe concessiehouder toegestaan om 40% van de ritten te laten doorrijden naar station Amsterdam Centraal, waarbij wel een maximum van twee lijnen vanuit Zaandam, respectievelijk Purmerend en Edam-Volendam is opgenomen.</w:t>
      </w:r>
    </w:p>
    <w:p w14:paraId="00E38220" w14:textId="3303A70B" w:rsidR="006814D5" w:rsidRDefault="006814D5" w:rsidP="005275FC">
      <w:pPr>
        <w:pStyle w:val="Geenafstand"/>
      </w:pPr>
    </w:p>
    <w:p w14:paraId="5137B9C3" w14:textId="2A3A7096" w:rsidR="00E658C2" w:rsidRPr="008B501A" w:rsidRDefault="00E658C2" w:rsidP="005275FC">
      <w:pPr>
        <w:pStyle w:val="Geenafstand"/>
        <w:rPr>
          <w:b/>
        </w:rPr>
      </w:pPr>
      <w:r w:rsidRPr="008B501A">
        <w:rPr>
          <w:b/>
        </w:rPr>
        <w:t>Overzicht</w:t>
      </w:r>
      <w:r w:rsidR="00EA72C6" w:rsidRPr="008B501A">
        <w:rPr>
          <w:b/>
        </w:rPr>
        <w:t xml:space="preserve"> </w:t>
      </w:r>
      <w:r w:rsidR="008B501A">
        <w:rPr>
          <w:b/>
        </w:rPr>
        <w:t>van participatiemomenten</w:t>
      </w:r>
    </w:p>
    <w:p w14:paraId="1C9B89FE" w14:textId="77777777" w:rsidR="005C5E49" w:rsidRPr="00E658C2" w:rsidRDefault="005C5E49" w:rsidP="005275FC">
      <w:pPr>
        <w:pStyle w:val="Geenafstand"/>
        <w:rPr>
          <w: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106"/>
        <w:gridCol w:w="1701"/>
        <w:gridCol w:w="2392"/>
        <w:gridCol w:w="1315"/>
      </w:tblGrid>
      <w:tr w:rsidR="00FF7EDF" w14:paraId="5AC7707D" w14:textId="77777777" w:rsidTr="00D86D1A">
        <w:tc>
          <w:tcPr>
            <w:tcW w:w="4106" w:type="dxa"/>
            <w:tcBorders>
              <w:bottom w:val="single" w:sz="4" w:space="0" w:color="auto"/>
              <w:right w:val="single" w:sz="4" w:space="0" w:color="auto"/>
            </w:tcBorders>
          </w:tcPr>
          <w:p w14:paraId="4D32FF26" w14:textId="49E82A86" w:rsidR="00FF7EDF" w:rsidRPr="004B7A6B" w:rsidRDefault="005C5E49" w:rsidP="005275FC">
            <w:pPr>
              <w:pStyle w:val="Lijst-letters"/>
              <w:numPr>
                <w:ilvl w:val="0"/>
                <w:numId w:val="0"/>
              </w:numPr>
              <w:rPr>
                <w:b/>
              </w:rPr>
            </w:pPr>
            <w:r w:rsidRPr="004B7A6B">
              <w:rPr>
                <w:b/>
              </w:rPr>
              <w:t>Stakeholders</w:t>
            </w:r>
          </w:p>
        </w:tc>
        <w:tc>
          <w:tcPr>
            <w:tcW w:w="1701" w:type="dxa"/>
            <w:tcBorders>
              <w:top w:val="single" w:sz="4" w:space="0" w:color="auto"/>
              <w:left w:val="single" w:sz="4" w:space="0" w:color="auto"/>
              <w:bottom w:val="single" w:sz="4" w:space="0" w:color="auto"/>
              <w:right w:val="single" w:sz="4" w:space="0" w:color="auto"/>
            </w:tcBorders>
          </w:tcPr>
          <w:p w14:paraId="387335EA" w14:textId="3108E7AE" w:rsidR="00FF7EDF" w:rsidRPr="004B7A6B" w:rsidRDefault="005C5E49" w:rsidP="005275FC">
            <w:pPr>
              <w:pStyle w:val="Lijst-letters"/>
              <w:numPr>
                <w:ilvl w:val="0"/>
                <w:numId w:val="0"/>
              </w:numPr>
              <w:rPr>
                <w:b/>
              </w:rPr>
            </w:pPr>
            <w:r w:rsidRPr="004B7A6B">
              <w:rPr>
                <w:b/>
              </w:rPr>
              <w:t>Datum</w:t>
            </w:r>
          </w:p>
        </w:tc>
        <w:tc>
          <w:tcPr>
            <w:tcW w:w="2392" w:type="dxa"/>
            <w:tcBorders>
              <w:top w:val="single" w:sz="4" w:space="0" w:color="auto"/>
              <w:left w:val="single" w:sz="4" w:space="0" w:color="auto"/>
              <w:bottom w:val="single" w:sz="4" w:space="0" w:color="auto"/>
              <w:right w:val="single" w:sz="4" w:space="0" w:color="auto"/>
            </w:tcBorders>
          </w:tcPr>
          <w:p w14:paraId="36E81512" w14:textId="5377FF6D" w:rsidR="00FF7EDF" w:rsidRPr="004B7A6B" w:rsidRDefault="005C5E49" w:rsidP="005275FC">
            <w:pPr>
              <w:pStyle w:val="Lijst-letters"/>
              <w:numPr>
                <w:ilvl w:val="0"/>
                <w:numId w:val="0"/>
              </w:numPr>
              <w:rPr>
                <w:b/>
              </w:rPr>
            </w:pPr>
            <w:r w:rsidRPr="004B7A6B">
              <w:rPr>
                <w:b/>
              </w:rPr>
              <w:t>Locatie</w:t>
            </w:r>
          </w:p>
        </w:tc>
        <w:tc>
          <w:tcPr>
            <w:tcW w:w="1315" w:type="dxa"/>
            <w:tcBorders>
              <w:left w:val="single" w:sz="4" w:space="0" w:color="auto"/>
              <w:bottom w:val="single" w:sz="4" w:space="0" w:color="auto"/>
            </w:tcBorders>
          </w:tcPr>
          <w:p w14:paraId="007D1CD3" w14:textId="73228A14" w:rsidR="00FF7EDF" w:rsidRPr="004B7A6B" w:rsidRDefault="004B7A6B" w:rsidP="005275FC">
            <w:pPr>
              <w:pStyle w:val="Lijst-letters"/>
              <w:numPr>
                <w:ilvl w:val="0"/>
                <w:numId w:val="0"/>
              </w:numPr>
              <w:rPr>
                <w:b/>
              </w:rPr>
            </w:pPr>
            <w:r w:rsidRPr="004B7A6B">
              <w:rPr>
                <w:b/>
              </w:rPr>
              <w:t>Deelnemers</w:t>
            </w:r>
          </w:p>
        </w:tc>
      </w:tr>
      <w:tr w:rsidR="008B501A" w14:paraId="140C5574" w14:textId="77777777" w:rsidTr="00D86D1A">
        <w:tc>
          <w:tcPr>
            <w:tcW w:w="4106" w:type="dxa"/>
            <w:tcBorders>
              <w:top w:val="single" w:sz="4" w:space="0" w:color="auto"/>
              <w:bottom w:val="nil"/>
              <w:right w:val="single" w:sz="4" w:space="0" w:color="auto"/>
            </w:tcBorders>
          </w:tcPr>
          <w:p w14:paraId="22FAE5F8" w14:textId="5A4F093A" w:rsidR="008B501A" w:rsidRPr="009D7000" w:rsidRDefault="008B501A" w:rsidP="00CC3462">
            <w:pPr>
              <w:pStyle w:val="Lijst-letters"/>
              <w:numPr>
                <w:ilvl w:val="0"/>
                <w:numId w:val="0"/>
              </w:numPr>
              <w:rPr>
                <w:b/>
              </w:rPr>
            </w:pPr>
            <w:r w:rsidRPr="009D7000">
              <w:rPr>
                <w:b/>
              </w:rPr>
              <w:t>Middel: papieren serious game</w:t>
            </w:r>
          </w:p>
        </w:tc>
        <w:tc>
          <w:tcPr>
            <w:tcW w:w="1701" w:type="dxa"/>
            <w:tcBorders>
              <w:top w:val="single" w:sz="4" w:space="0" w:color="auto"/>
              <w:left w:val="single" w:sz="4" w:space="0" w:color="auto"/>
              <w:bottom w:val="nil"/>
              <w:right w:val="single" w:sz="4" w:space="0" w:color="auto"/>
            </w:tcBorders>
          </w:tcPr>
          <w:p w14:paraId="0E553263" w14:textId="77777777" w:rsidR="008B501A" w:rsidRDefault="008B501A" w:rsidP="00CC3462">
            <w:pPr>
              <w:pStyle w:val="Lijst-letters"/>
              <w:numPr>
                <w:ilvl w:val="0"/>
                <w:numId w:val="0"/>
              </w:numPr>
            </w:pPr>
          </w:p>
        </w:tc>
        <w:tc>
          <w:tcPr>
            <w:tcW w:w="2392" w:type="dxa"/>
            <w:tcBorders>
              <w:top w:val="single" w:sz="4" w:space="0" w:color="auto"/>
              <w:left w:val="single" w:sz="4" w:space="0" w:color="auto"/>
              <w:bottom w:val="nil"/>
              <w:right w:val="single" w:sz="4" w:space="0" w:color="auto"/>
            </w:tcBorders>
          </w:tcPr>
          <w:p w14:paraId="757ACAE4" w14:textId="77777777" w:rsidR="008B501A" w:rsidRDefault="008B501A" w:rsidP="00CC3462">
            <w:pPr>
              <w:pStyle w:val="Lijst-letters"/>
              <w:numPr>
                <w:ilvl w:val="0"/>
                <w:numId w:val="0"/>
              </w:numPr>
            </w:pPr>
          </w:p>
        </w:tc>
        <w:tc>
          <w:tcPr>
            <w:tcW w:w="1315" w:type="dxa"/>
            <w:tcBorders>
              <w:top w:val="single" w:sz="4" w:space="0" w:color="auto"/>
              <w:left w:val="single" w:sz="4" w:space="0" w:color="auto"/>
              <w:bottom w:val="nil"/>
            </w:tcBorders>
          </w:tcPr>
          <w:p w14:paraId="02C67F3F" w14:textId="77777777" w:rsidR="008B501A" w:rsidRDefault="008B501A" w:rsidP="00CC3462">
            <w:pPr>
              <w:pStyle w:val="Lijst-letters"/>
              <w:numPr>
                <w:ilvl w:val="0"/>
                <w:numId w:val="0"/>
              </w:numPr>
            </w:pPr>
          </w:p>
        </w:tc>
      </w:tr>
      <w:tr w:rsidR="00656EBE" w14:paraId="643BE321" w14:textId="77777777" w:rsidTr="00D86D1A">
        <w:tc>
          <w:tcPr>
            <w:tcW w:w="4106" w:type="dxa"/>
            <w:tcBorders>
              <w:top w:val="nil"/>
              <w:bottom w:val="nil"/>
              <w:right w:val="single" w:sz="4" w:space="0" w:color="auto"/>
            </w:tcBorders>
          </w:tcPr>
          <w:p w14:paraId="63253506" w14:textId="77777777" w:rsidR="00656EBE" w:rsidRDefault="00656EBE" w:rsidP="00CC3462">
            <w:pPr>
              <w:pStyle w:val="Lijst-letters"/>
              <w:numPr>
                <w:ilvl w:val="0"/>
                <w:numId w:val="0"/>
              </w:numPr>
            </w:pPr>
            <w:r>
              <w:t>Ambtenaren Vervoerregio Amsterdam</w:t>
            </w:r>
          </w:p>
        </w:tc>
        <w:tc>
          <w:tcPr>
            <w:tcW w:w="1701" w:type="dxa"/>
            <w:tcBorders>
              <w:top w:val="nil"/>
              <w:left w:val="single" w:sz="4" w:space="0" w:color="auto"/>
              <w:bottom w:val="nil"/>
              <w:right w:val="single" w:sz="4" w:space="0" w:color="auto"/>
            </w:tcBorders>
          </w:tcPr>
          <w:p w14:paraId="25702270" w14:textId="77777777" w:rsidR="00656EBE" w:rsidRDefault="00656EBE" w:rsidP="00CC3462">
            <w:pPr>
              <w:pStyle w:val="Lijst-letters"/>
              <w:numPr>
                <w:ilvl w:val="0"/>
                <w:numId w:val="0"/>
              </w:numPr>
            </w:pPr>
            <w:r>
              <w:t>10-12-2018</w:t>
            </w:r>
          </w:p>
        </w:tc>
        <w:tc>
          <w:tcPr>
            <w:tcW w:w="2392" w:type="dxa"/>
            <w:tcBorders>
              <w:top w:val="nil"/>
              <w:left w:val="single" w:sz="4" w:space="0" w:color="auto"/>
              <w:bottom w:val="nil"/>
              <w:right w:val="single" w:sz="4" w:space="0" w:color="auto"/>
            </w:tcBorders>
          </w:tcPr>
          <w:p w14:paraId="59E5F4CF" w14:textId="77777777" w:rsidR="00656EBE" w:rsidRDefault="00656EBE" w:rsidP="00CC3462">
            <w:pPr>
              <w:pStyle w:val="Lijst-letters"/>
              <w:numPr>
                <w:ilvl w:val="0"/>
                <w:numId w:val="0"/>
              </w:numPr>
            </w:pPr>
            <w:r>
              <w:t>Amsterdam</w:t>
            </w:r>
          </w:p>
        </w:tc>
        <w:tc>
          <w:tcPr>
            <w:tcW w:w="1315" w:type="dxa"/>
            <w:tcBorders>
              <w:top w:val="nil"/>
              <w:left w:val="single" w:sz="4" w:space="0" w:color="auto"/>
              <w:bottom w:val="nil"/>
            </w:tcBorders>
          </w:tcPr>
          <w:p w14:paraId="65ED8609" w14:textId="64538878" w:rsidR="00656EBE" w:rsidRDefault="000B4EC6" w:rsidP="00CC3462">
            <w:pPr>
              <w:pStyle w:val="Lijst-letters"/>
              <w:numPr>
                <w:ilvl w:val="0"/>
                <w:numId w:val="0"/>
              </w:numPr>
            </w:pPr>
            <w:r>
              <w:t>18</w:t>
            </w:r>
          </w:p>
        </w:tc>
      </w:tr>
      <w:tr w:rsidR="00656EBE" w14:paraId="4015F8C5" w14:textId="77777777" w:rsidTr="00D86D1A">
        <w:tc>
          <w:tcPr>
            <w:tcW w:w="4106" w:type="dxa"/>
            <w:tcBorders>
              <w:top w:val="nil"/>
              <w:bottom w:val="nil"/>
              <w:right w:val="single" w:sz="4" w:space="0" w:color="auto"/>
            </w:tcBorders>
          </w:tcPr>
          <w:p w14:paraId="1EEAAD7E" w14:textId="77777777" w:rsidR="00656EBE" w:rsidRDefault="00656EBE" w:rsidP="00CC3462">
            <w:pPr>
              <w:pStyle w:val="Lijst-letters"/>
              <w:numPr>
                <w:ilvl w:val="0"/>
                <w:numId w:val="0"/>
              </w:numPr>
            </w:pPr>
            <w:r>
              <w:t>Ambtenaren gemeenten concessiegebied</w:t>
            </w:r>
          </w:p>
        </w:tc>
        <w:tc>
          <w:tcPr>
            <w:tcW w:w="1701" w:type="dxa"/>
            <w:tcBorders>
              <w:top w:val="nil"/>
              <w:left w:val="single" w:sz="4" w:space="0" w:color="auto"/>
              <w:bottom w:val="nil"/>
              <w:right w:val="single" w:sz="4" w:space="0" w:color="auto"/>
            </w:tcBorders>
          </w:tcPr>
          <w:p w14:paraId="2C0E7C43" w14:textId="77777777" w:rsidR="00656EBE" w:rsidRDefault="00656EBE" w:rsidP="00CC3462">
            <w:pPr>
              <w:pStyle w:val="Lijst-letters"/>
              <w:numPr>
                <w:ilvl w:val="0"/>
                <w:numId w:val="0"/>
              </w:numPr>
            </w:pPr>
            <w:r>
              <w:t>12-12-2018</w:t>
            </w:r>
          </w:p>
        </w:tc>
        <w:tc>
          <w:tcPr>
            <w:tcW w:w="2392" w:type="dxa"/>
            <w:tcBorders>
              <w:top w:val="nil"/>
              <w:left w:val="single" w:sz="4" w:space="0" w:color="auto"/>
              <w:bottom w:val="nil"/>
              <w:right w:val="single" w:sz="4" w:space="0" w:color="auto"/>
            </w:tcBorders>
          </w:tcPr>
          <w:p w14:paraId="42C1E6BD" w14:textId="77777777" w:rsidR="00656EBE" w:rsidRDefault="00656EBE" w:rsidP="00CC3462">
            <w:pPr>
              <w:pStyle w:val="Lijst-letters"/>
              <w:numPr>
                <w:ilvl w:val="0"/>
                <w:numId w:val="0"/>
              </w:numPr>
            </w:pPr>
            <w:r>
              <w:t>Amsterdam</w:t>
            </w:r>
          </w:p>
        </w:tc>
        <w:tc>
          <w:tcPr>
            <w:tcW w:w="1315" w:type="dxa"/>
            <w:tcBorders>
              <w:top w:val="nil"/>
              <w:left w:val="single" w:sz="4" w:space="0" w:color="auto"/>
              <w:bottom w:val="nil"/>
            </w:tcBorders>
          </w:tcPr>
          <w:p w14:paraId="23BDB6AE" w14:textId="73A75E66" w:rsidR="00656EBE" w:rsidRDefault="000B4EC6" w:rsidP="00CC3462">
            <w:pPr>
              <w:pStyle w:val="Lijst-letters"/>
              <w:numPr>
                <w:ilvl w:val="0"/>
                <w:numId w:val="0"/>
              </w:numPr>
            </w:pPr>
            <w:r>
              <w:t>9</w:t>
            </w:r>
          </w:p>
        </w:tc>
      </w:tr>
      <w:tr w:rsidR="00320087" w14:paraId="20CAD456" w14:textId="77777777" w:rsidTr="00D86D1A">
        <w:tc>
          <w:tcPr>
            <w:tcW w:w="4106" w:type="dxa"/>
            <w:tcBorders>
              <w:top w:val="nil"/>
              <w:bottom w:val="nil"/>
              <w:right w:val="single" w:sz="4" w:space="0" w:color="auto"/>
            </w:tcBorders>
          </w:tcPr>
          <w:p w14:paraId="67F95330" w14:textId="5DFF6DB7" w:rsidR="00320087" w:rsidRDefault="00DD4302" w:rsidP="00CC3462">
            <w:pPr>
              <w:pStyle w:val="Lijst-letters"/>
              <w:numPr>
                <w:ilvl w:val="0"/>
                <w:numId w:val="0"/>
              </w:numPr>
            </w:pPr>
            <w:r>
              <w:t>Wethouders verkeer &amp; vervoer gemeenten concessiegebied</w:t>
            </w:r>
          </w:p>
        </w:tc>
        <w:tc>
          <w:tcPr>
            <w:tcW w:w="1701" w:type="dxa"/>
            <w:tcBorders>
              <w:top w:val="nil"/>
              <w:left w:val="single" w:sz="4" w:space="0" w:color="auto"/>
              <w:bottom w:val="nil"/>
              <w:right w:val="single" w:sz="4" w:space="0" w:color="auto"/>
            </w:tcBorders>
          </w:tcPr>
          <w:p w14:paraId="62F94BE6" w14:textId="5043FE55" w:rsidR="00320087" w:rsidRDefault="00656EBE" w:rsidP="00CC3462">
            <w:pPr>
              <w:pStyle w:val="Lijst-letters"/>
              <w:numPr>
                <w:ilvl w:val="0"/>
                <w:numId w:val="0"/>
              </w:numPr>
            </w:pPr>
            <w:r>
              <w:t>31-1-2019</w:t>
            </w:r>
          </w:p>
        </w:tc>
        <w:tc>
          <w:tcPr>
            <w:tcW w:w="2392" w:type="dxa"/>
            <w:tcBorders>
              <w:top w:val="nil"/>
              <w:left w:val="single" w:sz="4" w:space="0" w:color="auto"/>
              <w:bottom w:val="nil"/>
              <w:right w:val="single" w:sz="4" w:space="0" w:color="auto"/>
            </w:tcBorders>
          </w:tcPr>
          <w:p w14:paraId="10E1B33D" w14:textId="6FD78956" w:rsidR="00320087" w:rsidRDefault="005E3080" w:rsidP="00CC3462">
            <w:pPr>
              <w:pStyle w:val="Lijst-letters"/>
              <w:numPr>
                <w:ilvl w:val="0"/>
                <w:numId w:val="0"/>
              </w:numPr>
            </w:pPr>
            <w:r>
              <w:t>Zaandam</w:t>
            </w:r>
          </w:p>
        </w:tc>
        <w:tc>
          <w:tcPr>
            <w:tcW w:w="1315" w:type="dxa"/>
            <w:tcBorders>
              <w:top w:val="nil"/>
              <w:left w:val="single" w:sz="4" w:space="0" w:color="auto"/>
              <w:bottom w:val="nil"/>
            </w:tcBorders>
          </w:tcPr>
          <w:p w14:paraId="3DA5E83A" w14:textId="3ABCA9B8" w:rsidR="00320087" w:rsidRDefault="005E3080" w:rsidP="00CC3462">
            <w:pPr>
              <w:pStyle w:val="Lijst-letters"/>
              <w:numPr>
                <w:ilvl w:val="0"/>
                <w:numId w:val="0"/>
              </w:numPr>
            </w:pPr>
            <w:r>
              <w:t>8</w:t>
            </w:r>
          </w:p>
        </w:tc>
      </w:tr>
      <w:tr w:rsidR="00320087" w14:paraId="0EFC29E2" w14:textId="77777777" w:rsidTr="00D86D1A">
        <w:tc>
          <w:tcPr>
            <w:tcW w:w="4106" w:type="dxa"/>
            <w:tcBorders>
              <w:top w:val="nil"/>
              <w:bottom w:val="nil"/>
              <w:right w:val="single" w:sz="4" w:space="0" w:color="auto"/>
            </w:tcBorders>
          </w:tcPr>
          <w:p w14:paraId="2040A3DD" w14:textId="77F9FFFC" w:rsidR="00320087" w:rsidRDefault="00BD2ECA" w:rsidP="00CC3462">
            <w:pPr>
              <w:pStyle w:val="Lijst-letters"/>
              <w:numPr>
                <w:ilvl w:val="0"/>
                <w:numId w:val="0"/>
              </w:numPr>
            </w:pPr>
            <w:r>
              <w:t>Regioraadsleden</w:t>
            </w:r>
          </w:p>
        </w:tc>
        <w:tc>
          <w:tcPr>
            <w:tcW w:w="1701" w:type="dxa"/>
            <w:tcBorders>
              <w:top w:val="nil"/>
              <w:left w:val="single" w:sz="4" w:space="0" w:color="auto"/>
              <w:bottom w:val="nil"/>
              <w:right w:val="single" w:sz="4" w:space="0" w:color="auto"/>
            </w:tcBorders>
          </w:tcPr>
          <w:p w14:paraId="6ADB06BC" w14:textId="6873F3AB" w:rsidR="00320087" w:rsidRDefault="00DD4302" w:rsidP="00CC3462">
            <w:pPr>
              <w:pStyle w:val="Lijst-letters"/>
              <w:numPr>
                <w:ilvl w:val="0"/>
                <w:numId w:val="0"/>
              </w:numPr>
            </w:pPr>
            <w:r>
              <w:t>6-2-2019</w:t>
            </w:r>
          </w:p>
        </w:tc>
        <w:tc>
          <w:tcPr>
            <w:tcW w:w="2392" w:type="dxa"/>
            <w:tcBorders>
              <w:top w:val="nil"/>
              <w:left w:val="single" w:sz="4" w:space="0" w:color="auto"/>
              <w:bottom w:val="nil"/>
              <w:right w:val="single" w:sz="4" w:space="0" w:color="auto"/>
            </w:tcBorders>
          </w:tcPr>
          <w:p w14:paraId="6F9E5600" w14:textId="692DD225" w:rsidR="00320087" w:rsidRDefault="00DD4302" w:rsidP="00CC3462">
            <w:pPr>
              <w:pStyle w:val="Lijst-letters"/>
              <w:numPr>
                <w:ilvl w:val="0"/>
                <w:numId w:val="0"/>
              </w:numPr>
            </w:pPr>
            <w:r>
              <w:t>Amsterdam</w:t>
            </w:r>
          </w:p>
        </w:tc>
        <w:tc>
          <w:tcPr>
            <w:tcW w:w="1315" w:type="dxa"/>
            <w:tcBorders>
              <w:top w:val="nil"/>
              <w:left w:val="single" w:sz="4" w:space="0" w:color="auto"/>
              <w:bottom w:val="nil"/>
            </w:tcBorders>
          </w:tcPr>
          <w:p w14:paraId="28563A02" w14:textId="381FDE85" w:rsidR="00320087" w:rsidRDefault="00595459" w:rsidP="00CC3462">
            <w:pPr>
              <w:pStyle w:val="Lijst-letters"/>
              <w:numPr>
                <w:ilvl w:val="0"/>
                <w:numId w:val="0"/>
              </w:numPr>
            </w:pPr>
            <w:r>
              <w:t>7</w:t>
            </w:r>
          </w:p>
        </w:tc>
      </w:tr>
      <w:tr w:rsidR="00320087" w14:paraId="6738BB83" w14:textId="77777777" w:rsidTr="00D86D1A">
        <w:tc>
          <w:tcPr>
            <w:tcW w:w="4106" w:type="dxa"/>
            <w:tcBorders>
              <w:top w:val="nil"/>
              <w:bottom w:val="nil"/>
              <w:right w:val="single" w:sz="4" w:space="0" w:color="auto"/>
            </w:tcBorders>
          </w:tcPr>
          <w:p w14:paraId="5F081755" w14:textId="04C6643C" w:rsidR="00320087" w:rsidRDefault="00974CC2" w:rsidP="005275FC">
            <w:pPr>
              <w:pStyle w:val="Lijst-letters"/>
              <w:numPr>
                <w:ilvl w:val="0"/>
                <w:numId w:val="0"/>
              </w:numPr>
            </w:pPr>
            <w:r>
              <w:t>Gemeenteraadsleden Oostzaan, Landsmeer, Wormerland</w:t>
            </w:r>
          </w:p>
        </w:tc>
        <w:tc>
          <w:tcPr>
            <w:tcW w:w="1701" w:type="dxa"/>
            <w:tcBorders>
              <w:top w:val="nil"/>
              <w:left w:val="single" w:sz="4" w:space="0" w:color="auto"/>
              <w:bottom w:val="nil"/>
              <w:right w:val="single" w:sz="4" w:space="0" w:color="auto"/>
            </w:tcBorders>
          </w:tcPr>
          <w:p w14:paraId="5473FA55" w14:textId="3864F6E1" w:rsidR="00320087" w:rsidRDefault="00B64040" w:rsidP="005275FC">
            <w:pPr>
              <w:pStyle w:val="Lijst-letters"/>
              <w:numPr>
                <w:ilvl w:val="0"/>
                <w:numId w:val="0"/>
              </w:numPr>
            </w:pPr>
            <w:r>
              <w:t>13-2-2019</w:t>
            </w:r>
          </w:p>
        </w:tc>
        <w:tc>
          <w:tcPr>
            <w:tcW w:w="2392" w:type="dxa"/>
            <w:tcBorders>
              <w:top w:val="nil"/>
              <w:left w:val="single" w:sz="4" w:space="0" w:color="auto"/>
              <w:bottom w:val="nil"/>
              <w:right w:val="single" w:sz="4" w:space="0" w:color="auto"/>
            </w:tcBorders>
          </w:tcPr>
          <w:p w14:paraId="005782A6" w14:textId="5910DFCC" w:rsidR="00320087" w:rsidRDefault="00B64040" w:rsidP="005275FC">
            <w:pPr>
              <w:pStyle w:val="Lijst-letters"/>
              <w:numPr>
                <w:ilvl w:val="0"/>
                <w:numId w:val="0"/>
              </w:numPr>
            </w:pPr>
            <w:r>
              <w:t>Oostzaan</w:t>
            </w:r>
          </w:p>
        </w:tc>
        <w:tc>
          <w:tcPr>
            <w:tcW w:w="1315" w:type="dxa"/>
            <w:tcBorders>
              <w:top w:val="nil"/>
              <w:left w:val="single" w:sz="4" w:space="0" w:color="auto"/>
              <w:bottom w:val="nil"/>
            </w:tcBorders>
          </w:tcPr>
          <w:p w14:paraId="383BBFC5" w14:textId="0B0D236F" w:rsidR="00320087" w:rsidRDefault="00595459" w:rsidP="005275FC">
            <w:pPr>
              <w:pStyle w:val="Lijst-letters"/>
              <w:numPr>
                <w:ilvl w:val="0"/>
                <w:numId w:val="0"/>
              </w:numPr>
            </w:pPr>
            <w:r>
              <w:t>14</w:t>
            </w:r>
          </w:p>
        </w:tc>
      </w:tr>
      <w:tr w:rsidR="00FF7EDF" w14:paraId="0402539C" w14:textId="77777777" w:rsidTr="00D86D1A">
        <w:tc>
          <w:tcPr>
            <w:tcW w:w="4106" w:type="dxa"/>
            <w:tcBorders>
              <w:top w:val="nil"/>
              <w:bottom w:val="nil"/>
              <w:right w:val="single" w:sz="4" w:space="0" w:color="auto"/>
            </w:tcBorders>
          </w:tcPr>
          <w:p w14:paraId="30336133" w14:textId="07754A17" w:rsidR="00FF7EDF" w:rsidRDefault="008F47D3" w:rsidP="005275FC">
            <w:pPr>
              <w:pStyle w:val="Lijst-letters"/>
              <w:numPr>
                <w:ilvl w:val="0"/>
                <w:numId w:val="0"/>
              </w:numPr>
            </w:pPr>
            <w:r>
              <w:t>Reizigers Adviesraad</w:t>
            </w:r>
          </w:p>
        </w:tc>
        <w:tc>
          <w:tcPr>
            <w:tcW w:w="1701" w:type="dxa"/>
            <w:tcBorders>
              <w:top w:val="nil"/>
              <w:left w:val="single" w:sz="4" w:space="0" w:color="auto"/>
              <w:bottom w:val="nil"/>
              <w:right w:val="single" w:sz="4" w:space="0" w:color="auto"/>
            </w:tcBorders>
          </w:tcPr>
          <w:p w14:paraId="3E24B526" w14:textId="49CB0250" w:rsidR="00FF7EDF" w:rsidRDefault="00974CC2" w:rsidP="005275FC">
            <w:pPr>
              <w:pStyle w:val="Lijst-letters"/>
              <w:numPr>
                <w:ilvl w:val="0"/>
                <w:numId w:val="0"/>
              </w:numPr>
            </w:pPr>
            <w:r>
              <w:t>5-3-2019</w:t>
            </w:r>
          </w:p>
        </w:tc>
        <w:tc>
          <w:tcPr>
            <w:tcW w:w="2392" w:type="dxa"/>
            <w:tcBorders>
              <w:top w:val="nil"/>
              <w:left w:val="single" w:sz="4" w:space="0" w:color="auto"/>
              <w:bottom w:val="nil"/>
              <w:right w:val="single" w:sz="4" w:space="0" w:color="auto"/>
            </w:tcBorders>
          </w:tcPr>
          <w:p w14:paraId="2146418E" w14:textId="640BF6DE" w:rsidR="00FF7EDF" w:rsidRDefault="00A34A61" w:rsidP="005275FC">
            <w:pPr>
              <w:pStyle w:val="Lijst-letters"/>
              <w:numPr>
                <w:ilvl w:val="0"/>
                <w:numId w:val="0"/>
              </w:numPr>
            </w:pPr>
            <w:r>
              <w:t>Amsterdam</w:t>
            </w:r>
          </w:p>
        </w:tc>
        <w:tc>
          <w:tcPr>
            <w:tcW w:w="1315" w:type="dxa"/>
            <w:tcBorders>
              <w:top w:val="nil"/>
              <w:left w:val="single" w:sz="4" w:space="0" w:color="auto"/>
              <w:bottom w:val="nil"/>
            </w:tcBorders>
          </w:tcPr>
          <w:p w14:paraId="1F4DBAC1" w14:textId="121516FE" w:rsidR="00FF7EDF" w:rsidRDefault="00595459" w:rsidP="005275FC">
            <w:pPr>
              <w:pStyle w:val="Lijst-letters"/>
              <w:numPr>
                <w:ilvl w:val="0"/>
                <w:numId w:val="0"/>
              </w:numPr>
            </w:pPr>
            <w:r>
              <w:t>5</w:t>
            </w:r>
          </w:p>
        </w:tc>
      </w:tr>
      <w:tr w:rsidR="00FF7EDF" w14:paraId="20CB6966" w14:textId="77777777" w:rsidTr="00D86D1A">
        <w:tc>
          <w:tcPr>
            <w:tcW w:w="4106" w:type="dxa"/>
            <w:tcBorders>
              <w:top w:val="nil"/>
              <w:bottom w:val="single" w:sz="4" w:space="0" w:color="auto"/>
              <w:right w:val="single" w:sz="4" w:space="0" w:color="auto"/>
            </w:tcBorders>
          </w:tcPr>
          <w:p w14:paraId="684E44D0" w14:textId="5C7C0098" w:rsidR="00FF7EDF" w:rsidRDefault="002A4061" w:rsidP="005275FC">
            <w:pPr>
              <w:pStyle w:val="Lijst-letters"/>
              <w:numPr>
                <w:ilvl w:val="0"/>
                <w:numId w:val="0"/>
              </w:numPr>
            </w:pPr>
            <w:r>
              <w:t>Dagelijks Bestuur en directie Vervoerregio</w:t>
            </w:r>
          </w:p>
        </w:tc>
        <w:tc>
          <w:tcPr>
            <w:tcW w:w="1701" w:type="dxa"/>
            <w:tcBorders>
              <w:top w:val="nil"/>
              <w:left w:val="single" w:sz="4" w:space="0" w:color="auto"/>
              <w:bottom w:val="single" w:sz="4" w:space="0" w:color="auto"/>
              <w:right w:val="single" w:sz="4" w:space="0" w:color="auto"/>
            </w:tcBorders>
          </w:tcPr>
          <w:p w14:paraId="1DB2C1CC" w14:textId="6FA62B40" w:rsidR="00FF7EDF" w:rsidRDefault="00320087" w:rsidP="005275FC">
            <w:pPr>
              <w:pStyle w:val="Lijst-letters"/>
              <w:numPr>
                <w:ilvl w:val="0"/>
                <w:numId w:val="0"/>
              </w:numPr>
            </w:pPr>
            <w:r>
              <w:t>7-3-2019</w:t>
            </w:r>
          </w:p>
        </w:tc>
        <w:tc>
          <w:tcPr>
            <w:tcW w:w="2392" w:type="dxa"/>
            <w:tcBorders>
              <w:top w:val="nil"/>
              <w:left w:val="single" w:sz="4" w:space="0" w:color="auto"/>
              <w:bottom w:val="single" w:sz="4" w:space="0" w:color="auto"/>
              <w:right w:val="single" w:sz="4" w:space="0" w:color="auto"/>
            </w:tcBorders>
          </w:tcPr>
          <w:p w14:paraId="6DC1679A" w14:textId="0DC54276" w:rsidR="00FF7EDF" w:rsidRDefault="00320087" w:rsidP="00656EBE">
            <w:pPr>
              <w:pStyle w:val="Lijst-letters"/>
              <w:numPr>
                <w:ilvl w:val="0"/>
                <w:numId w:val="0"/>
              </w:numPr>
              <w:tabs>
                <w:tab w:val="left" w:pos="1440"/>
              </w:tabs>
            </w:pPr>
            <w:r>
              <w:t>Amsterdam</w:t>
            </w:r>
            <w:r w:rsidR="00656EBE">
              <w:tab/>
            </w:r>
          </w:p>
        </w:tc>
        <w:tc>
          <w:tcPr>
            <w:tcW w:w="1315" w:type="dxa"/>
            <w:tcBorders>
              <w:top w:val="nil"/>
              <w:left w:val="single" w:sz="4" w:space="0" w:color="auto"/>
              <w:bottom w:val="single" w:sz="4" w:space="0" w:color="auto"/>
            </w:tcBorders>
          </w:tcPr>
          <w:p w14:paraId="2FB07D80" w14:textId="0DC58F23" w:rsidR="00FF7EDF" w:rsidRDefault="00320087" w:rsidP="005275FC">
            <w:pPr>
              <w:pStyle w:val="Lijst-letters"/>
              <w:numPr>
                <w:ilvl w:val="0"/>
                <w:numId w:val="0"/>
              </w:numPr>
            </w:pPr>
            <w:r>
              <w:t>6</w:t>
            </w:r>
          </w:p>
        </w:tc>
      </w:tr>
      <w:tr w:rsidR="008B501A" w14:paraId="28CEBF24" w14:textId="77777777" w:rsidTr="00D86D1A">
        <w:tc>
          <w:tcPr>
            <w:tcW w:w="4106" w:type="dxa"/>
            <w:tcBorders>
              <w:top w:val="single" w:sz="4" w:space="0" w:color="auto"/>
              <w:bottom w:val="nil"/>
              <w:right w:val="single" w:sz="4" w:space="0" w:color="auto"/>
            </w:tcBorders>
          </w:tcPr>
          <w:p w14:paraId="3603DD59" w14:textId="6777D59D" w:rsidR="008B501A" w:rsidRPr="009D7000" w:rsidRDefault="008B501A" w:rsidP="005275FC">
            <w:pPr>
              <w:pStyle w:val="Lijst-letters"/>
              <w:numPr>
                <w:ilvl w:val="0"/>
                <w:numId w:val="0"/>
              </w:numPr>
              <w:rPr>
                <w:b/>
              </w:rPr>
            </w:pPr>
            <w:r w:rsidRPr="009D7000">
              <w:rPr>
                <w:b/>
              </w:rPr>
              <w:t>Middel: digitale enquête</w:t>
            </w:r>
          </w:p>
        </w:tc>
        <w:tc>
          <w:tcPr>
            <w:tcW w:w="1701" w:type="dxa"/>
            <w:tcBorders>
              <w:top w:val="single" w:sz="4" w:space="0" w:color="auto"/>
              <w:left w:val="single" w:sz="4" w:space="0" w:color="auto"/>
              <w:bottom w:val="nil"/>
              <w:right w:val="single" w:sz="4" w:space="0" w:color="auto"/>
            </w:tcBorders>
          </w:tcPr>
          <w:p w14:paraId="4D4F6397" w14:textId="77777777" w:rsidR="008B501A" w:rsidRDefault="008B501A" w:rsidP="005275FC">
            <w:pPr>
              <w:pStyle w:val="Lijst-letters"/>
              <w:numPr>
                <w:ilvl w:val="0"/>
                <w:numId w:val="0"/>
              </w:numPr>
            </w:pPr>
          </w:p>
        </w:tc>
        <w:tc>
          <w:tcPr>
            <w:tcW w:w="2392" w:type="dxa"/>
            <w:tcBorders>
              <w:top w:val="single" w:sz="4" w:space="0" w:color="auto"/>
              <w:left w:val="single" w:sz="4" w:space="0" w:color="auto"/>
              <w:bottom w:val="nil"/>
              <w:right w:val="single" w:sz="4" w:space="0" w:color="auto"/>
            </w:tcBorders>
          </w:tcPr>
          <w:p w14:paraId="79AC83E6" w14:textId="77777777" w:rsidR="008B501A" w:rsidRDefault="008B501A" w:rsidP="00656EBE">
            <w:pPr>
              <w:pStyle w:val="Lijst-letters"/>
              <w:numPr>
                <w:ilvl w:val="0"/>
                <w:numId w:val="0"/>
              </w:numPr>
              <w:tabs>
                <w:tab w:val="left" w:pos="1440"/>
              </w:tabs>
            </w:pPr>
          </w:p>
        </w:tc>
        <w:tc>
          <w:tcPr>
            <w:tcW w:w="1315" w:type="dxa"/>
            <w:tcBorders>
              <w:top w:val="single" w:sz="4" w:space="0" w:color="auto"/>
              <w:left w:val="single" w:sz="4" w:space="0" w:color="auto"/>
              <w:bottom w:val="nil"/>
            </w:tcBorders>
          </w:tcPr>
          <w:p w14:paraId="6A4D0BE8" w14:textId="77777777" w:rsidR="008B501A" w:rsidRDefault="008B501A" w:rsidP="005275FC">
            <w:pPr>
              <w:pStyle w:val="Lijst-letters"/>
              <w:numPr>
                <w:ilvl w:val="0"/>
                <w:numId w:val="0"/>
              </w:numPr>
            </w:pPr>
          </w:p>
        </w:tc>
      </w:tr>
      <w:tr w:rsidR="00FF7EDF" w14:paraId="34C3D81A" w14:textId="77777777" w:rsidTr="00D86D1A">
        <w:tc>
          <w:tcPr>
            <w:tcW w:w="4106" w:type="dxa"/>
            <w:tcBorders>
              <w:top w:val="nil"/>
              <w:bottom w:val="single" w:sz="4" w:space="0" w:color="auto"/>
              <w:right w:val="single" w:sz="4" w:space="0" w:color="auto"/>
            </w:tcBorders>
          </w:tcPr>
          <w:p w14:paraId="1D6315F5" w14:textId="54FCE613" w:rsidR="00FF7EDF" w:rsidRDefault="00CA67F0" w:rsidP="005275FC">
            <w:pPr>
              <w:pStyle w:val="Lijst-letters"/>
              <w:numPr>
                <w:ilvl w:val="0"/>
                <w:numId w:val="0"/>
              </w:numPr>
            </w:pPr>
            <w:r>
              <w:t xml:space="preserve">Bewoners en reizigers </w:t>
            </w:r>
            <w:r w:rsidR="00C33790">
              <w:t>(geworven via promotie in het concessiegebied)</w:t>
            </w:r>
          </w:p>
        </w:tc>
        <w:tc>
          <w:tcPr>
            <w:tcW w:w="1701" w:type="dxa"/>
            <w:tcBorders>
              <w:top w:val="nil"/>
              <w:left w:val="single" w:sz="4" w:space="0" w:color="auto"/>
              <w:bottom w:val="single" w:sz="4" w:space="0" w:color="auto"/>
              <w:right w:val="single" w:sz="4" w:space="0" w:color="auto"/>
            </w:tcBorders>
          </w:tcPr>
          <w:p w14:paraId="7D4E0FAC" w14:textId="0E77F163" w:rsidR="00FF7EDF" w:rsidRDefault="00672CCD" w:rsidP="005275FC">
            <w:pPr>
              <w:pStyle w:val="Lijst-letters"/>
              <w:numPr>
                <w:ilvl w:val="0"/>
                <w:numId w:val="0"/>
              </w:numPr>
            </w:pPr>
            <w:r>
              <w:t>12 maart-17 april 2019</w:t>
            </w:r>
          </w:p>
        </w:tc>
        <w:tc>
          <w:tcPr>
            <w:tcW w:w="2392" w:type="dxa"/>
            <w:tcBorders>
              <w:top w:val="nil"/>
              <w:left w:val="single" w:sz="4" w:space="0" w:color="auto"/>
              <w:bottom w:val="single" w:sz="4" w:space="0" w:color="auto"/>
              <w:right w:val="single" w:sz="4" w:space="0" w:color="auto"/>
            </w:tcBorders>
          </w:tcPr>
          <w:p w14:paraId="36BC381D" w14:textId="3F88A2F2" w:rsidR="00FF7EDF" w:rsidRDefault="002D011A" w:rsidP="005275FC">
            <w:pPr>
              <w:pStyle w:val="Lijst-letters"/>
              <w:numPr>
                <w:ilvl w:val="0"/>
                <w:numId w:val="0"/>
              </w:numPr>
            </w:pPr>
            <w:r>
              <w:t>Digitaal/online</w:t>
            </w:r>
          </w:p>
        </w:tc>
        <w:tc>
          <w:tcPr>
            <w:tcW w:w="1315" w:type="dxa"/>
            <w:tcBorders>
              <w:top w:val="nil"/>
              <w:left w:val="single" w:sz="4" w:space="0" w:color="auto"/>
              <w:bottom w:val="single" w:sz="4" w:space="0" w:color="auto"/>
            </w:tcBorders>
          </w:tcPr>
          <w:p w14:paraId="6DC18979" w14:textId="73633C98" w:rsidR="00FF7EDF" w:rsidRDefault="00F25848" w:rsidP="005275FC">
            <w:pPr>
              <w:pStyle w:val="Lijst-letters"/>
              <w:numPr>
                <w:ilvl w:val="0"/>
                <w:numId w:val="0"/>
              </w:numPr>
            </w:pPr>
            <w:r>
              <w:t>1.978</w:t>
            </w:r>
          </w:p>
        </w:tc>
      </w:tr>
      <w:tr w:rsidR="008B501A" w14:paraId="7FF8892F" w14:textId="77777777" w:rsidTr="00D86D1A">
        <w:tc>
          <w:tcPr>
            <w:tcW w:w="4106" w:type="dxa"/>
            <w:tcBorders>
              <w:top w:val="single" w:sz="4" w:space="0" w:color="auto"/>
              <w:right w:val="single" w:sz="4" w:space="0" w:color="auto"/>
            </w:tcBorders>
            <w:vAlign w:val="bottom"/>
          </w:tcPr>
          <w:p w14:paraId="62403D8E" w14:textId="5A9A86A2" w:rsidR="008B501A" w:rsidRPr="009D7000" w:rsidRDefault="008B501A" w:rsidP="00282385">
            <w:pPr>
              <w:pStyle w:val="Lijst-letters"/>
              <w:numPr>
                <w:ilvl w:val="0"/>
                <w:numId w:val="0"/>
              </w:numPr>
              <w:spacing w:line="240" w:lineRule="auto"/>
              <w:rPr>
                <w:b/>
              </w:rPr>
            </w:pPr>
            <w:r w:rsidRPr="009D7000">
              <w:rPr>
                <w:b/>
              </w:rPr>
              <w:t>Middel: digitale serious game</w:t>
            </w:r>
          </w:p>
        </w:tc>
        <w:tc>
          <w:tcPr>
            <w:tcW w:w="1701" w:type="dxa"/>
            <w:tcBorders>
              <w:top w:val="single" w:sz="4" w:space="0" w:color="auto"/>
              <w:left w:val="single" w:sz="4" w:space="0" w:color="auto"/>
              <w:bottom w:val="nil"/>
              <w:right w:val="single" w:sz="4" w:space="0" w:color="auto"/>
            </w:tcBorders>
          </w:tcPr>
          <w:p w14:paraId="558656CA" w14:textId="77777777" w:rsidR="008B501A" w:rsidRDefault="008B501A" w:rsidP="005275FC">
            <w:pPr>
              <w:pStyle w:val="Lijst-letters"/>
              <w:numPr>
                <w:ilvl w:val="0"/>
                <w:numId w:val="0"/>
              </w:numPr>
            </w:pPr>
          </w:p>
        </w:tc>
        <w:tc>
          <w:tcPr>
            <w:tcW w:w="2392" w:type="dxa"/>
            <w:tcBorders>
              <w:top w:val="single" w:sz="4" w:space="0" w:color="auto"/>
              <w:left w:val="single" w:sz="4" w:space="0" w:color="auto"/>
              <w:bottom w:val="nil"/>
              <w:right w:val="single" w:sz="4" w:space="0" w:color="auto"/>
            </w:tcBorders>
          </w:tcPr>
          <w:p w14:paraId="1DBC53EF" w14:textId="77777777" w:rsidR="008B501A" w:rsidRDefault="008B501A" w:rsidP="005275FC">
            <w:pPr>
              <w:pStyle w:val="Lijst-letters"/>
              <w:numPr>
                <w:ilvl w:val="0"/>
                <w:numId w:val="0"/>
              </w:numPr>
            </w:pPr>
          </w:p>
        </w:tc>
        <w:tc>
          <w:tcPr>
            <w:tcW w:w="1315" w:type="dxa"/>
            <w:tcBorders>
              <w:top w:val="single" w:sz="4" w:space="0" w:color="auto"/>
              <w:left w:val="single" w:sz="4" w:space="0" w:color="auto"/>
            </w:tcBorders>
          </w:tcPr>
          <w:p w14:paraId="5CECB56A" w14:textId="77777777" w:rsidR="008B501A" w:rsidRDefault="008B501A" w:rsidP="005275FC">
            <w:pPr>
              <w:pStyle w:val="Lijst-letters"/>
              <w:numPr>
                <w:ilvl w:val="0"/>
                <w:numId w:val="0"/>
              </w:numPr>
            </w:pPr>
          </w:p>
        </w:tc>
      </w:tr>
      <w:tr w:rsidR="00FF7EDF" w14:paraId="50503881" w14:textId="77777777" w:rsidTr="00D86D1A">
        <w:tc>
          <w:tcPr>
            <w:tcW w:w="4106" w:type="dxa"/>
            <w:tcBorders>
              <w:right w:val="single" w:sz="4" w:space="0" w:color="auto"/>
            </w:tcBorders>
          </w:tcPr>
          <w:p w14:paraId="58461BB6" w14:textId="0C8A15C2" w:rsidR="00FF7EDF" w:rsidRDefault="003612A3" w:rsidP="005275FC">
            <w:pPr>
              <w:pStyle w:val="Lijst-letters"/>
              <w:numPr>
                <w:ilvl w:val="0"/>
                <w:numId w:val="0"/>
              </w:numPr>
            </w:pPr>
            <w:r>
              <w:t>Representatieve groep bewoners Zaanstreek-Waterland (</w:t>
            </w:r>
            <w:r w:rsidR="00CA67F0">
              <w:t xml:space="preserve">panel </w:t>
            </w:r>
            <w:proofErr w:type="spellStart"/>
            <w:r w:rsidR="00CA67F0">
              <w:t>Kantar</w:t>
            </w:r>
            <w:proofErr w:type="spellEnd"/>
            <w:r w:rsidR="00CA67F0">
              <w:t xml:space="preserve"> TNS)</w:t>
            </w:r>
          </w:p>
        </w:tc>
        <w:tc>
          <w:tcPr>
            <w:tcW w:w="1701" w:type="dxa"/>
            <w:tcBorders>
              <w:top w:val="nil"/>
              <w:left w:val="single" w:sz="4" w:space="0" w:color="auto"/>
              <w:bottom w:val="nil"/>
              <w:right w:val="single" w:sz="4" w:space="0" w:color="auto"/>
            </w:tcBorders>
          </w:tcPr>
          <w:p w14:paraId="14A1ECC9" w14:textId="704C08A9" w:rsidR="00FF7EDF" w:rsidRDefault="006C06F5" w:rsidP="005275FC">
            <w:pPr>
              <w:pStyle w:val="Lijst-letters"/>
              <w:numPr>
                <w:ilvl w:val="0"/>
                <w:numId w:val="0"/>
              </w:numPr>
            </w:pPr>
            <w:r>
              <w:t>9-17 april 2019</w:t>
            </w:r>
          </w:p>
        </w:tc>
        <w:tc>
          <w:tcPr>
            <w:tcW w:w="2392" w:type="dxa"/>
            <w:tcBorders>
              <w:top w:val="nil"/>
              <w:left w:val="single" w:sz="4" w:space="0" w:color="auto"/>
              <w:bottom w:val="nil"/>
              <w:right w:val="single" w:sz="4" w:space="0" w:color="auto"/>
            </w:tcBorders>
          </w:tcPr>
          <w:p w14:paraId="2305A26E" w14:textId="684440DC" w:rsidR="00FF7EDF" w:rsidRDefault="002D011A" w:rsidP="005275FC">
            <w:pPr>
              <w:pStyle w:val="Lijst-letters"/>
              <w:numPr>
                <w:ilvl w:val="0"/>
                <w:numId w:val="0"/>
              </w:numPr>
            </w:pPr>
            <w:r>
              <w:t>Digitaal/online</w:t>
            </w:r>
          </w:p>
        </w:tc>
        <w:tc>
          <w:tcPr>
            <w:tcW w:w="1315" w:type="dxa"/>
            <w:tcBorders>
              <w:left w:val="single" w:sz="4" w:space="0" w:color="auto"/>
            </w:tcBorders>
          </w:tcPr>
          <w:p w14:paraId="2A350D69" w14:textId="1EA83272" w:rsidR="00FF7EDF" w:rsidRDefault="003612A3" w:rsidP="005275FC">
            <w:pPr>
              <w:pStyle w:val="Lijst-letters"/>
              <w:numPr>
                <w:ilvl w:val="0"/>
                <w:numId w:val="0"/>
              </w:numPr>
            </w:pPr>
            <w:r>
              <w:t>482</w:t>
            </w:r>
          </w:p>
        </w:tc>
      </w:tr>
      <w:tr w:rsidR="00FF7EDF" w14:paraId="0527BC60" w14:textId="77777777" w:rsidTr="00D86D1A">
        <w:tc>
          <w:tcPr>
            <w:tcW w:w="4106" w:type="dxa"/>
            <w:tcBorders>
              <w:right w:val="single" w:sz="4" w:space="0" w:color="auto"/>
            </w:tcBorders>
          </w:tcPr>
          <w:p w14:paraId="30949205" w14:textId="3CEF33E1" w:rsidR="00FF7EDF" w:rsidRDefault="00CA67F0" w:rsidP="005275FC">
            <w:pPr>
              <w:pStyle w:val="Lijst-letters"/>
              <w:numPr>
                <w:ilvl w:val="0"/>
                <w:numId w:val="0"/>
              </w:numPr>
            </w:pPr>
            <w:r>
              <w:t>Bewoners en reizigers afkomstig uit het Panel van de Vervoerregio</w:t>
            </w:r>
          </w:p>
        </w:tc>
        <w:tc>
          <w:tcPr>
            <w:tcW w:w="1701" w:type="dxa"/>
            <w:tcBorders>
              <w:top w:val="nil"/>
              <w:left w:val="single" w:sz="4" w:space="0" w:color="auto"/>
              <w:bottom w:val="single" w:sz="4" w:space="0" w:color="auto"/>
              <w:right w:val="single" w:sz="4" w:space="0" w:color="auto"/>
            </w:tcBorders>
          </w:tcPr>
          <w:p w14:paraId="4EB28589" w14:textId="2A34E86E" w:rsidR="00FF7EDF" w:rsidRDefault="00672CCD" w:rsidP="005275FC">
            <w:pPr>
              <w:pStyle w:val="Lijst-letters"/>
              <w:numPr>
                <w:ilvl w:val="0"/>
                <w:numId w:val="0"/>
              </w:numPr>
            </w:pPr>
            <w:r>
              <w:t>18-30 april 2019</w:t>
            </w:r>
          </w:p>
        </w:tc>
        <w:tc>
          <w:tcPr>
            <w:tcW w:w="2392" w:type="dxa"/>
            <w:tcBorders>
              <w:top w:val="nil"/>
              <w:left w:val="single" w:sz="4" w:space="0" w:color="auto"/>
              <w:bottom w:val="single" w:sz="4" w:space="0" w:color="auto"/>
              <w:right w:val="single" w:sz="4" w:space="0" w:color="auto"/>
            </w:tcBorders>
          </w:tcPr>
          <w:p w14:paraId="31B9A9B1" w14:textId="4957AFC0" w:rsidR="00FF7EDF" w:rsidRDefault="002D011A" w:rsidP="005275FC">
            <w:pPr>
              <w:pStyle w:val="Lijst-letters"/>
              <w:numPr>
                <w:ilvl w:val="0"/>
                <w:numId w:val="0"/>
              </w:numPr>
            </w:pPr>
            <w:r>
              <w:t>Digitaal/</w:t>
            </w:r>
            <w:r w:rsidR="00603112">
              <w:t>online</w:t>
            </w:r>
          </w:p>
        </w:tc>
        <w:tc>
          <w:tcPr>
            <w:tcW w:w="1315" w:type="dxa"/>
            <w:tcBorders>
              <w:left w:val="single" w:sz="4" w:space="0" w:color="auto"/>
            </w:tcBorders>
          </w:tcPr>
          <w:p w14:paraId="3AAFCBBC" w14:textId="294CCFBD" w:rsidR="00FF7EDF" w:rsidRDefault="00F25848" w:rsidP="00FF7EDF">
            <w:pPr>
              <w:pStyle w:val="Lijst-letters"/>
              <w:keepNext/>
              <w:numPr>
                <w:ilvl w:val="0"/>
                <w:numId w:val="0"/>
              </w:numPr>
            </w:pPr>
            <w:r>
              <w:t>235</w:t>
            </w:r>
          </w:p>
        </w:tc>
      </w:tr>
    </w:tbl>
    <w:p w14:paraId="0C4275F3" w14:textId="27D53C8F" w:rsidR="005275FC" w:rsidRPr="0062024D" w:rsidRDefault="00FF7EDF" w:rsidP="00FF7EDF">
      <w:pPr>
        <w:pStyle w:val="Bijschrift"/>
      </w:pPr>
      <w:r>
        <w:t xml:space="preserve">Tabel </w:t>
      </w:r>
      <w:r w:rsidR="00703A60">
        <w:rPr>
          <w:noProof/>
        </w:rPr>
        <w:fldChar w:fldCharType="begin"/>
      </w:r>
      <w:r w:rsidR="00703A60">
        <w:rPr>
          <w:noProof/>
        </w:rPr>
        <w:instrText xml:space="preserve"> SEQ Tabel \* ARABIC </w:instrText>
      </w:r>
      <w:r w:rsidR="00703A60">
        <w:rPr>
          <w:noProof/>
        </w:rPr>
        <w:fldChar w:fldCharType="separate"/>
      </w:r>
      <w:r w:rsidR="00DF6833">
        <w:rPr>
          <w:noProof/>
        </w:rPr>
        <w:t>2</w:t>
      </w:r>
      <w:r w:rsidR="00703A60">
        <w:rPr>
          <w:noProof/>
        </w:rPr>
        <w:fldChar w:fldCharType="end"/>
      </w:r>
      <w:r>
        <w:t xml:space="preserve"> Overzicht gespeelde serious games</w:t>
      </w:r>
    </w:p>
    <w:sectPr w:rsidR="005275FC" w:rsidRPr="0062024D" w:rsidSect="00C5158E">
      <w:type w:val="continuous"/>
      <w:pgSz w:w="11906" w:h="16838" w:code="9"/>
      <w:pgMar w:top="1985" w:right="1021" w:bottom="1701" w:left="1361" w:header="204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DA7E" w14:textId="77777777" w:rsidR="006C176D" w:rsidRDefault="006C176D" w:rsidP="00AD1311">
      <w:r>
        <w:separator/>
      </w:r>
    </w:p>
    <w:p w14:paraId="32BCDD81" w14:textId="77777777" w:rsidR="006C176D" w:rsidRDefault="006C176D" w:rsidP="00AD1311"/>
  </w:endnote>
  <w:endnote w:type="continuationSeparator" w:id="0">
    <w:p w14:paraId="639817A6" w14:textId="77777777" w:rsidR="006C176D" w:rsidRDefault="006C176D" w:rsidP="00AD1311">
      <w:r>
        <w:continuationSeparator/>
      </w:r>
    </w:p>
    <w:p w14:paraId="5CD02C12" w14:textId="77777777" w:rsidR="006C176D" w:rsidRDefault="006C176D" w:rsidP="00AD1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B53F" w14:textId="77777777" w:rsidR="00D17CDA" w:rsidRDefault="00AB19B5" w:rsidP="00AD1311">
    <w:pPr>
      <w:pStyle w:val="Voettekst"/>
    </w:pPr>
    <w:r>
      <w:t>pa</w:t>
    </w:r>
    <w:r w:rsidR="00D17CDA">
      <w:t>gina</w:t>
    </w:r>
    <w:r>
      <w:t xml:space="preserve"> </w:t>
    </w:r>
    <w:r w:rsidRPr="00816868">
      <w:rPr>
        <w:b/>
      </w:rPr>
      <w:fldChar w:fldCharType="begin"/>
    </w:r>
    <w:r w:rsidRPr="00816868">
      <w:rPr>
        <w:b/>
      </w:rPr>
      <w:instrText xml:space="preserve"> PAGE   \* MERGEFORMAT </w:instrText>
    </w:r>
    <w:r w:rsidRPr="00816868">
      <w:rPr>
        <w:b/>
      </w:rPr>
      <w:fldChar w:fldCharType="separate"/>
    </w:r>
    <w:r w:rsidR="009A1BA2">
      <w:rPr>
        <w:b/>
      </w:rPr>
      <w:t>2</w:t>
    </w:r>
    <w:r w:rsidRPr="00816868">
      <w:rPr>
        <w:b/>
      </w:rPr>
      <w:fldChar w:fldCharType="end"/>
    </w:r>
    <w:r>
      <w:t xml:space="preserve"> van </w:t>
    </w:r>
    <w:r w:rsidR="009A1BA2">
      <w:rPr>
        <w:b/>
      </w:rPr>
      <w:fldChar w:fldCharType="begin"/>
    </w:r>
    <w:r w:rsidR="009A1BA2">
      <w:rPr>
        <w:b/>
      </w:rPr>
      <w:instrText xml:space="preserve"> NUMPAGES  \* Arabic  \* MERGEFORMAT </w:instrText>
    </w:r>
    <w:r w:rsidR="009A1BA2">
      <w:rPr>
        <w:b/>
      </w:rPr>
      <w:fldChar w:fldCharType="separate"/>
    </w:r>
    <w:r w:rsidR="00C51AF7">
      <w:rPr>
        <w:b/>
        <w:noProof/>
      </w:rPr>
      <w:t>1</w:t>
    </w:r>
    <w:r w:rsidR="009A1BA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0EFA" w14:textId="77777777" w:rsidR="00C5158E" w:rsidRDefault="00C5158E" w:rsidP="00C5158E">
    <w:pPr>
      <w:pStyle w:val="Voettekst"/>
    </w:pPr>
    <w:r>
      <w:t xml:space="preserve">pagina </w:t>
    </w:r>
    <w:r w:rsidRPr="00816868">
      <w:rPr>
        <w:b/>
      </w:rPr>
      <w:fldChar w:fldCharType="begin"/>
    </w:r>
    <w:r w:rsidRPr="00816868">
      <w:rPr>
        <w:b/>
      </w:rPr>
      <w:instrText xml:space="preserve"> PAGE   \* MERGEFORMAT </w:instrText>
    </w:r>
    <w:r w:rsidRPr="00816868">
      <w:rPr>
        <w:b/>
      </w:rPr>
      <w:fldChar w:fldCharType="separate"/>
    </w:r>
    <w:r w:rsidR="00C51AF7">
      <w:rPr>
        <w:b/>
        <w:noProof/>
      </w:rPr>
      <w:t>1</w:t>
    </w:r>
    <w:r w:rsidRPr="00816868">
      <w:rPr>
        <w:b/>
      </w:rPr>
      <w:fldChar w:fldCharType="end"/>
    </w:r>
    <w:r>
      <w:t xml:space="preserve"> van </w:t>
    </w:r>
    <w:r w:rsidR="009A1BA2">
      <w:rPr>
        <w:b/>
      </w:rPr>
      <w:fldChar w:fldCharType="begin"/>
    </w:r>
    <w:r w:rsidR="009A1BA2">
      <w:rPr>
        <w:b/>
      </w:rPr>
      <w:instrText xml:space="preserve"> NUMPAGES  \* Arabic  \* MERGEFORMAT </w:instrText>
    </w:r>
    <w:r w:rsidR="009A1BA2">
      <w:rPr>
        <w:b/>
      </w:rPr>
      <w:fldChar w:fldCharType="separate"/>
    </w:r>
    <w:r w:rsidR="00C51AF7">
      <w:rPr>
        <w:b/>
        <w:noProof/>
      </w:rPr>
      <w:t>1</w:t>
    </w:r>
    <w:r w:rsidR="009A1BA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B621" w14:textId="77777777" w:rsidR="006C176D" w:rsidRDefault="006C176D" w:rsidP="00AD1311">
      <w:r>
        <w:separator/>
      </w:r>
    </w:p>
    <w:p w14:paraId="2F62FCEF" w14:textId="77777777" w:rsidR="006C176D" w:rsidRDefault="006C176D" w:rsidP="00AD1311"/>
  </w:footnote>
  <w:footnote w:type="continuationSeparator" w:id="0">
    <w:p w14:paraId="026F2273" w14:textId="77777777" w:rsidR="006C176D" w:rsidRDefault="006C176D" w:rsidP="00AD1311">
      <w:r>
        <w:continuationSeparator/>
      </w:r>
    </w:p>
    <w:p w14:paraId="7C895071" w14:textId="77777777" w:rsidR="006C176D" w:rsidRDefault="006C176D" w:rsidP="00AD1311"/>
  </w:footnote>
  <w:footnote w:id="1">
    <w:p w14:paraId="1AC01EBC" w14:textId="675FF09B" w:rsidR="005A1D80" w:rsidRPr="009A6382" w:rsidRDefault="005A1D80" w:rsidP="009A6382">
      <w:pPr>
        <w:pStyle w:val="Geenafstand"/>
        <w:rPr>
          <w:sz w:val="18"/>
          <w:szCs w:val="18"/>
        </w:rPr>
      </w:pPr>
      <w:r w:rsidRPr="009A6382">
        <w:rPr>
          <w:rStyle w:val="Voetnootmarkering"/>
          <w:sz w:val="18"/>
          <w:szCs w:val="18"/>
        </w:rPr>
        <w:footnoteRef/>
      </w:r>
      <w:r w:rsidRPr="009A6382">
        <w:rPr>
          <w:sz w:val="18"/>
          <w:szCs w:val="18"/>
        </w:rPr>
        <w:t xml:space="preserve"> De burgerparticipatie die gemeenten zelf hebben geïnitieerd, alsmede de aanbevelingen/wensen die de gemeenten daarop aan de Vervoerregio hebben gedaan blijven in dit memo buiten beschouwing.</w:t>
      </w:r>
      <w:r w:rsidR="009A6382" w:rsidRPr="009A6382">
        <w:rPr>
          <w:sz w:val="18"/>
          <w:szCs w:val="18"/>
        </w:rPr>
        <w:t xml:space="preserve"> Hieronder vallen ook de gesprekken die tussen Vervoerregio en raden hebben plaatsgevonden in de periode 1 april-9 mei 2019.</w:t>
      </w:r>
    </w:p>
  </w:footnote>
  <w:footnote w:id="2">
    <w:p w14:paraId="11EF87EE" w14:textId="788B7E1D" w:rsidR="005275FC" w:rsidRDefault="005275FC" w:rsidP="005275FC">
      <w:pPr>
        <w:pStyle w:val="Voetnoottekst"/>
      </w:pPr>
      <w:r>
        <w:rPr>
          <w:rStyle w:val="Voetnootmarkering"/>
        </w:rPr>
        <w:footnoteRef/>
      </w:r>
      <w:r>
        <w:t xml:space="preserve"> </w:t>
      </w:r>
      <w:r w:rsidR="00E658C2">
        <w:t>Beleidskader Mobiliteit zoals op 12 december 2017 vastgesteld door de Regioraad van de Vervoerregio Amsterdam.</w:t>
      </w:r>
    </w:p>
  </w:footnote>
  <w:footnote w:id="3">
    <w:p w14:paraId="2D3E814A" w14:textId="011CFDA2" w:rsidR="005275FC" w:rsidRDefault="005275FC" w:rsidP="005275FC">
      <w:pPr>
        <w:pStyle w:val="Voetnoottekst"/>
      </w:pPr>
      <w:r>
        <w:rPr>
          <w:rStyle w:val="Voetnootmarkering"/>
        </w:rPr>
        <w:footnoteRef/>
      </w:r>
      <w:r>
        <w:t xml:space="preserve"> Voor de lijst van de stakeholdersessies, </w:t>
      </w:r>
      <w:r w:rsidRPr="00DB7339">
        <w:t xml:space="preserve">zie </w:t>
      </w:r>
      <w:r w:rsidR="00E658C2" w:rsidRPr="00DB7339">
        <w:t>pagina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margin" w:tblpXSpec="right" w:tblpY="8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6"/>
    </w:tblGrid>
    <w:tr w:rsidR="001C23E7" w14:paraId="5B86871E" w14:textId="77777777" w:rsidTr="002F72A8">
      <w:trPr>
        <w:trHeight w:val="709"/>
      </w:trPr>
      <w:tc>
        <w:tcPr>
          <w:tcW w:w="3966" w:type="dxa"/>
        </w:tcPr>
        <w:p w14:paraId="0F4169DA" w14:textId="77777777" w:rsidR="001C23E7" w:rsidRPr="00FF48AB" w:rsidRDefault="001C23E7" w:rsidP="001C23E7">
          <w:pPr>
            <w:spacing w:line="312" w:lineRule="exact"/>
            <w:jc w:val="right"/>
          </w:pPr>
          <w:r>
            <w:rPr>
              <w:rFonts w:cs="Calibri"/>
              <w:b/>
              <w:spacing w:val="6"/>
              <w:sz w:val="28"/>
              <w:szCs w:val="28"/>
            </w:rPr>
            <w:t>MEMO</w:t>
          </w:r>
        </w:p>
      </w:tc>
    </w:tr>
  </w:tbl>
  <w:p w14:paraId="52FA6935" w14:textId="77777777" w:rsidR="00A40FA8" w:rsidRDefault="00F40BC1" w:rsidP="00AD1311">
    <w:pPr>
      <w:pStyle w:val="Koptekst"/>
    </w:pPr>
    <w:r>
      <w:rPr>
        <w:noProof/>
        <w:lang w:eastAsia="nl-NL"/>
      </w:rPr>
      <w:drawing>
        <wp:anchor distT="0" distB="0" distL="114300" distR="114300" simplePos="0" relativeHeight="251661312" behindDoc="0" locked="0" layoutInCell="1" allowOverlap="1" wp14:anchorId="624B7146" wp14:editId="03457714">
          <wp:simplePos x="0" y="0"/>
          <wp:positionH relativeFrom="page">
            <wp:posOffset>864870</wp:posOffset>
          </wp:positionH>
          <wp:positionV relativeFrom="page">
            <wp:posOffset>536575</wp:posOffset>
          </wp:positionV>
          <wp:extent cx="2537640" cy="431640"/>
          <wp:effectExtent l="0" t="0" r="0" b="698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RA_RGB.png"/>
                  <pic:cNvPicPr/>
                </pic:nvPicPr>
                <pic:blipFill>
                  <a:blip r:embed="rId1"/>
                  <a:stretch>
                    <a:fillRect/>
                  </a:stretch>
                </pic:blipFill>
                <pic:spPr>
                  <a:xfrm>
                    <a:off x="0" y="0"/>
                    <a:ext cx="2537640" cy="431640"/>
                  </a:xfrm>
                  <a:prstGeom prst="rect">
                    <a:avLst/>
                  </a:prstGeom>
                </pic:spPr>
              </pic:pic>
            </a:graphicData>
          </a:graphic>
          <wp14:sizeRelH relativeFrom="margin">
            <wp14:pctWidth>0</wp14:pctWidth>
          </wp14:sizeRelH>
          <wp14:sizeRelV relativeFrom="margin">
            <wp14:pctHeight>0</wp14:pctHeight>
          </wp14:sizeRelV>
        </wp:anchor>
      </w:drawing>
    </w:r>
  </w:p>
  <w:p w14:paraId="6BA2F1E4" w14:textId="77777777" w:rsidR="00EE5EC5" w:rsidRDefault="00EE5EC5" w:rsidP="00AD13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margin" w:tblpXSpec="right" w:tblpY="8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6"/>
    </w:tblGrid>
    <w:tr w:rsidR="001C23E7" w14:paraId="4404C162" w14:textId="77777777" w:rsidTr="002F72A8">
      <w:trPr>
        <w:trHeight w:val="709"/>
      </w:trPr>
      <w:tc>
        <w:tcPr>
          <w:tcW w:w="3966" w:type="dxa"/>
        </w:tcPr>
        <w:p w14:paraId="5994FEED" w14:textId="77777777" w:rsidR="001C23E7" w:rsidRPr="00FF48AB" w:rsidRDefault="001C23E7" w:rsidP="001C23E7">
          <w:pPr>
            <w:spacing w:line="312" w:lineRule="exact"/>
            <w:jc w:val="right"/>
          </w:pPr>
          <w:r>
            <w:rPr>
              <w:rFonts w:cs="Calibri"/>
              <w:b/>
              <w:spacing w:val="6"/>
              <w:sz w:val="28"/>
              <w:szCs w:val="28"/>
            </w:rPr>
            <w:t>MEMO</w:t>
          </w:r>
        </w:p>
      </w:tc>
    </w:tr>
  </w:tbl>
  <w:p w14:paraId="057BAD0A" w14:textId="77777777" w:rsidR="000F56B2" w:rsidRDefault="00C37636" w:rsidP="00AD1311">
    <w:pPr>
      <w:pStyle w:val="Koptekst"/>
    </w:pPr>
    <w:r>
      <w:rPr>
        <w:noProof/>
        <w:lang w:eastAsia="nl-NL"/>
      </w:rPr>
      <w:drawing>
        <wp:anchor distT="0" distB="0" distL="114300" distR="114300" simplePos="0" relativeHeight="251664384" behindDoc="0" locked="0" layoutInCell="1" allowOverlap="1" wp14:anchorId="1AF5FC48" wp14:editId="69DC0A9B">
          <wp:simplePos x="0" y="0"/>
          <wp:positionH relativeFrom="page">
            <wp:posOffset>864235</wp:posOffset>
          </wp:positionH>
          <wp:positionV relativeFrom="page">
            <wp:posOffset>536575</wp:posOffset>
          </wp:positionV>
          <wp:extent cx="2537460" cy="431800"/>
          <wp:effectExtent l="0" t="0" r="0" b="635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RA_RGB.png"/>
                  <pic:cNvPicPr/>
                </pic:nvPicPr>
                <pic:blipFill>
                  <a:blip r:embed="rId1"/>
                  <a:stretch>
                    <a:fillRect/>
                  </a:stretch>
                </pic:blipFill>
                <pic:spPr>
                  <a:xfrm>
                    <a:off x="0" y="0"/>
                    <a:ext cx="253746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632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E83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7257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AE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067E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C2E0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0A8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88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160D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8F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6770"/>
    <w:multiLevelType w:val="multilevel"/>
    <w:tmpl w:val="818C4E92"/>
    <w:lvl w:ilvl="0">
      <w:start w:val="1"/>
      <w:numFmt w:val="none"/>
      <w:suff w:val="nothing"/>
      <w:lvlText w:val="Bijlage: "/>
      <w:lvlJc w:val="left"/>
      <w:pPr>
        <w:ind w:left="0" w:firstLine="0"/>
      </w:pPr>
      <w:rPr>
        <w:rFonts w:hint="default"/>
        <w:b/>
        <w:i w:val="0"/>
        <w:sz w:val="24"/>
      </w:rPr>
    </w:lvl>
    <w:lvl w:ilvl="1">
      <w:start w:val="1"/>
      <w:numFmt w:val="bullet"/>
      <w:lvlText w:val=""/>
      <w:lvlJc w:val="left"/>
      <w:pPr>
        <w:ind w:left="454" w:hanging="227"/>
      </w:pPr>
      <w:rPr>
        <w:rFonts w:ascii="Symbol" w:hAnsi="Symbol" w:hint="default"/>
        <w:sz w:val="20"/>
      </w:rPr>
    </w:lvl>
    <w:lvl w:ilvl="2">
      <w:start w:val="1"/>
      <w:numFmt w:val="bullet"/>
      <w:lvlText w:val=""/>
      <w:lvlJc w:val="left"/>
      <w:pPr>
        <w:ind w:left="680" w:hanging="226"/>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7101946"/>
    <w:multiLevelType w:val="multilevel"/>
    <w:tmpl w:val="B410722C"/>
    <w:lvl w:ilvl="0">
      <w:start w:val="1"/>
      <w:numFmt w:val="bullet"/>
      <w:pStyle w:val="Lijst-bullets"/>
      <w:lvlText w:val="⦁"/>
      <w:lvlJc w:val="left"/>
      <w:pPr>
        <w:ind w:left="170" w:hanging="170"/>
      </w:pPr>
      <w:rPr>
        <w:rFonts w:ascii="Cambria" w:hAnsi="Cambria" w:hint="default"/>
        <w:sz w:val="20"/>
      </w:rPr>
    </w:lvl>
    <w:lvl w:ilvl="1">
      <w:start w:val="1"/>
      <w:numFmt w:val="bullet"/>
      <w:lvlText w:val=""/>
      <w:lvlJc w:val="left"/>
      <w:pPr>
        <w:ind w:left="568" w:hanging="284"/>
      </w:pPr>
      <w:rPr>
        <w:rFonts w:ascii="Symbol" w:hAnsi="Symbol" w:hint="default"/>
        <w:sz w:val="20"/>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0BA03355"/>
    <w:multiLevelType w:val="multilevel"/>
    <w:tmpl w:val="112C0C2E"/>
    <w:lvl w:ilvl="0">
      <w:start w:val="1"/>
      <w:numFmt w:val="bullet"/>
      <w:pStyle w:val="Lijst-streep-1"/>
      <w:lvlText w:val=""/>
      <w:lvlJc w:val="left"/>
      <w:pPr>
        <w:ind w:left="227" w:hanging="227"/>
      </w:pPr>
      <w:rPr>
        <w:rFonts w:ascii="Symbol" w:hAnsi="Symbol" w:hint="default"/>
        <w:sz w:val="20"/>
      </w:rPr>
    </w:lvl>
    <w:lvl w:ilvl="1">
      <w:start w:val="1"/>
      <w:numFmt w:val="bullet"/>
      <w:pStyle w:val="Lijst-streep-2"/>
      <w:lvlText w:val=""/>
      <w:lvlJc w:val="left"/>
      <w:pPr>
        <w:ind w:left="454" w:hanging="227"/>
      </w:pPr>
      <w:rPr>
        <w:rFonts w:ascii="Symbol" w:hAnsi="Symbol" w:hint="default"/>
        <w:sz w:val="20"/>
      </w:rPr>
    </w:lvl>
    <w:lvl w:ilvl="2">
      <w:start w:val="1"/>
      <w:numFmt w:val="bullet"/>
      <w:pStyle w:val="Lijst-streep-3"/>
      <w:lvlText w:val=""/>
      <w:lvlJc w:val="left"/>
      <w:pPr>
        <w:ind w:left="680" w:hanging="226"/>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18ED0495"/>
    <w:multiLevelType w:val="multilevel"/>
    <w:tmpl w:val="646868C2"/>
    <w:lvl w:ilvl="0">
      <w:start w:val="1"/>
      <w:numFmt w:val="decimal"/>
      <w:pStyle w:val="Lijst-cijfers"/>
      <w:lvlText w:val="%1"/>
      <w:lvlJc w:val="left"/>
      <w:pPr>
        <w:ind w:left="227" w:hanging="227"/>
      </w:pPr>
      <w:rPr>
        <w:rFonts w:hint="default"/>
        <w:b/>
        <w:i w:val="0"/>
        <w:sz w:val="17"/>
      </w:rPr>
    </w:lvl>
    <w:lvl w:ilvl="1">
      <w:start w:val="1"/>
      <w:numFmt w:val="bullet"/>
      <w:lvlText w:val=""/>
      <w:lvlJc w:val="left"/>
      <w:pPr>
        <w:ind w:left="568" w:hanging="284"/>
      </w:pPr>
      <w:rPr>
        <w:rFonts w:ascii="Symbol" w:hAnsi="Symbol" w:hint="default"/>
        <w:sz w:val="20"/>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4493022E"/>
    <w:multiLevelType w:val="hybridMultilevel"/>
    <w:tmpl w:val="C3E4A6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4236580"/>
    <w:multiLevelType w:val="multilevel"/>
    <w:tmpl w:val="DAD811C8"/>
    <w:lvl w:ilvl="0">
      <w:start w:val="1"/>
      <w:numFmt w:val="upperLetter"/>
      <w:pStyle w:val="Lijst-letters"/>
      <w:lvlText w:val="%1"/>
      <w:lvlJc w:val="left"/>
      <w:pPr>
        <w:ind w:left="227" w:hanging="227"/>
      </w:pPr>
      <w:rPr>
        <w:rFonts w:hint="default"/>
        <w:b/>
        <w:i w:val="0"/>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C901858"/>
    <w:multiLevelType w:val="multilevel"/>
    <w:tmpl w:val="4EE4DAC6"/>
    <w:lvl w:ilvl="0">
      <w:start w:val="1"/>
      <w:numFmt w:val="decimal"/>
      <w:lvlText w:val="%1."/>
      <w:lvlJc w:val="left"/>
      <w:pPr>
        <w:ind w:left="397" w:hanging="397"/>
      </w:pPr>
      <w:rPr>
        <w:rFonts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F9"/>
    <w:rsid w:val="00007495"/>
    <w:rsid w:val="0001300E"/>
    <w:rsid w:val="00020814"/>
    <w:rsid w:val="00024D1C"/>
    <w:rsid w:val="00024E62"/>
    <w:rsid w:val="00074DA7"/>
    <w:rsid w:val="000B4EC6"/>
    <w:rsid w:val="000F56B2"/>
    <w:rsid w:val="0012397A"/>
    <w:rsid w:val="001449D0"/>
    <w:rsid w:val="001541E0"/>
    <w:rsid w:val="00160127"/>
    <w:rsid w:val="00161727"/>
    <w:rsid w:val="00197999"/>
    <w:rsid w:val="001A7F9C"/>
    <w:rsid w:val="001B4BD7"/>
    <w:rsid w:val="001C23E7"/>
    <w:rsid w:val="001C6B14"/>
    <w:rsid w:val="00221F28"/>
    <w:rsid w:val="00240576"/>
    <w:rsid w:val="00251605"/>
    <w:rsid w:val="00252AB5"/>
    <w:rsid w:val="002734B5"/>
    <w:rsid w:val="00282385"/>
    <w:rsid w:val="002A4061"/>
    <w:rsid w:val="002D011A"/>
    <w:rsid w:val="002E5252"/>
    <w:rsid w:val="0030394F"/>
    <w:rsid w:val="00320087"/>
    <w:rsid w:val="00333FB8"/>
    <w:rsid w:val="00335503"/>
    <w:rsid w:val="003558DF"/>
    <w:rsid w:val="003612A3"/>
    <w:rsid w:val="00363C79"/>
    <w:rsid w:val="00393CE6"/>
    <w:rsid w:val="003A1369"/>
    <w:rsid w:val="003D13D7"/>
    <w:rsid w:val="003D6512"/>
    <w:rsid w:val="003E640B"/>
    <w:rsid w:val="00410FE0"/>
    <w:rsid w:val="004760C8"/>
    <w:rsid w:val="00493116"/>
    <w:rsid w:val="004A2524"/>
    <w:rsid w:val="004B7A6B"/>
    <w:rsid w:val="004C3625"/>
    <w:rsid w:val="004F3FC8"/>
    <w:rsid w:val="00513F45"/>
    <w:rsid w:val="005275FC"/>
    <w:rsid w:val="0053059D"/>
    <w:rsid w:val="00542877"/>
    <w:rsid w:val="0056313B"/>
    <w:rsid w:val="00582D57"/>
    <w:rsid w:val="00595459"/>
    <w:rsid w:val="005A1D80"/>
    <w:rsid w:val="005B69FB"/>
    <w:rsid w:val="005C5E49"/>
    <w:rsid w:val="005D5E9D"/>
    <w:rsid w:val="005E1900"/>
    <w:rsid w:val="005E3080"/>
    <w:rsid w:val="005F23CF"/>
    <w:rsid w:val="00601BBD"/>
    <w:rsid w:val="00603112"/>
    <w:rsid w:val="006053D3"/>
    <w:rsid w:val="0062024D"/>
    <w:rsid w:val="00633131"/>
    <w:rsid w:val="00656EBE"/>
    <w:rsid w:val="00672CCD"/>
    <w:rsid w:val="0068074A"/>
    <w:rsid w:val="006814D5"/>
    <w:rsid w:val="00683370"/>
    <w:rsid w:val="00697509"/>
    <w:rsid w:val="006B4421"/>
    <w:rsid w:val="006C06F5"/>
    <w:rsid w:val="006C176D"/>
    <w:rsid w:val="006D768B"/>
    <w:rsid w:val="006E3A65"/>
    <w:rsid w:val="00703A60"/>
    <w:rsid w:val="0078278A"/>
    <w:rsid w:val="007915D5"/>
    <w:rsid w:val="007C5E7A"/>
    <w:rsid w:val="00800A06"/>
    <w:rsid w:val="00810072"/>
    <w:rsid w:val="00816868"/>
    <w:rsid w:val="00821738"/>
    <w:rsid w:val="008570BA"/>
    <w:rsid w:val="00875F0C"/>
    <w:rsid w:val="008B501A"/>
    <w:rsid w:val="008C1FC3"/>
    <w:rsid w:val="008F349C"/>
    <w:rsid w:val="008F47D3"/>
    <w:rsid w:val="00913A83"/>
    <w:rsid w:val="00926BBC"/>
    <w:rsid w:val="00932D5E"/>
    <w:rsid w:val="00974CC2"/>
    <w:rsid w:val="009A1BA2"/>
    <w:rsid w:val="009A6382"/>
    <w:rsid w:val="009B3F4C"/>
    <w:rsid w:val="009D7000"/>
    <w:rsid w:val="00A2358B"/>
    <w:rsid w:val="00A34A61"/>
    <w:rsid w:val="00A40FA8"/>
    <w:rsid w:val="00A42F2F"/>
    <w:rsid w:val="00A84405"/>
    <w:rsid w:val="00A86546"/>
    <w:rsid w:val="00A97709"/>
    <w:rsid w:val="00AB1061"/>
    <w:rsid w:val="00AB1772"/>
    <w:rsid w:val="00AB19B5"/>
    <w:rsid w:val="00AD1311"/>
    <w:rsid w:val="00AD57FB"/>
    <w:rsid w:val="00B079A4"/>
    <w:rsid w:val="00B37B45"/>
    <w:rsid w:val="00B4749C"/>
    <w:rsid w:val="00B47638"/>
    <w:rsid w:val="00B53FB1"/>
    <w:rsid w:val="00B64040"/>
    <w:rsid w:val="00B77703"/>
    <w:rsid w:val="00B80E1B"/>
    <w:rsid w:val="00BA20D6"/>
    <w:rsid w:val="00BA34AA"/>
    <w:rsid w:val="00BA3D26"/>
    <w:rsid w:val="00BB0460"/>
    <w:rsid w:val="00BB55BC"/>
    <w:rsid w:val="00BB7FC1"/>
    <w:rsid w:val="00BD2ECA"/>
    <w:rsid w:val="00BD7538"/>
    <w:rsid w:val="00C25EA9"/>
    <w:rsid w:val="00C33790"/>
    <w:rsid w:val="00C35941"/>
    <w:rsid w:val="00C37636"/>
    <w:rsid w:val="00C4356E"/>
    <w:rsid w:val="00C5158E"/>
    <w:rsid w:val="00C51AF7"/>
    <w:rsid w:val="00C67CFD"/>
    <w:rsid w:val="00C72563"/>
    <w:rsid w:val="00C75090"/>
    <w:rsid w:val="00C8570A"/>
    <w:rsid w:val="00CA67F0"/>
    <w:rsid w:val="00CB093F"/>
    <w:rsid w:val="00CB2BA6"/>
    <w:rsid w:val="00CB5830"/>
    <w:rsid w:val="00CD65BA"/>
    <w:rsid w:val="00CE2492"/>
    <w:rsid w:val="00D17CDA"/>
    <w:rsid w:val="00D25372"/>
    <w:rsid w:val="00D33305"/>
    <w:rsid w:val="00D34B41"/>
    <w:rsid w:val="00D86D1A"/>
    <w:rsid w:val="00D97495"/>
    <w:rsid w:val="00DA6DF9"/>
    <w:rsid w:val="00DB3938"/>
    <w:rsid w:val="00DB7339"/>
    <w:rsid w:val="00DD4302"/>
    <w:rsid w:val="00DD4F8C"/>
    <w:rsid w:val="00DD5151"/>
    <w:rsid w:val="00DF6833"/>
    <w:rsid w:val="00E3580C"/>
    <w:rsid w:val="00E658C2"/>
    <w:rsid w:val="00E841FA"/>
    <w:rsid w:val="00EA4C99"/>
    <w:rsid w:val="00EA72C6"/>
    <w:rsid w:val="00EE5EC5"/>
    <w:rsid w:val="00F00E8B"/>
    <w:rsid w:val="00F03463"/>
    <w:rsid w:val="00F041D5"/>
    <w:rsid w:val="00F16852"/>
    <w:rsid w:val="00F25848"/>
    <w:rsid w:val="00F33164"/>
    <w:rsid w:val="00F40BC1"/>
    <w:rsid w:val="00F5410D"/>
    <w:rsid w:val="00FB4B78"/>
    <w:rsid w:val="00FC172E"/>
    <w:rsid w:val="00FC6B19"/>
    <w:rsid w:val="00FF443E"/>
    <w:rsid w:val="00FF7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988FF1"/>
  <w15:docId w15:val="{3A8C256A-6923-4A23-B528-2D187ABF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093F"/>
    <w:pPr>
      <w:spacing w:after="0" w:line="270" w:lineRule="atLeast"/>
    </w:pPr>
    <w:rPr>
      <w:rFonts w:ascii="Calibri" w:hAnsi="Calibri"/>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5B69FB"/>
    <w:pPr>
      <w:tabs>
        <w:tab w:val="center" w:pos="4536"/>
        <w:tab w:val="right" w:pos="9072"/>
      </w:tabs>
      <w:spacing w:line="250" w:lineRule="exact"/>
    </w:pPr>
  </w:style>
  <w:style w:type="character" w:customStyle="1" w:styleId="KoptekstChar">
    <w:name w:val="Koptekst Char"/>
    <w:basedOn w:val="Standaardalinea-lettertype"/>
    <w:link w:val="Koptekst"/>
    <w:uiPriority w:val="99"/>
    <w:semiHidden/>
    <w:rsid w:val="00A2358B"/>
    <w:rPr>
      <w:rFonts w:ascii="Arial" w:hAnsi="Arial"/>
      <w:noProof/>
      <w:sz w:val="18"/>
      <w:szCs w:val="21"/>
    </w:rPr>
  </w:style>
  <w:style w:type="paragraph" w:styleId="Voettekst">
    <w:name w:val="footer"/>
    <w:basedOn w:val="Standaard"/>
    <w:link w:val="VoettekstChar"/>
    <w:uiPriority w:val="99"/>
    <w:semiHidden/>
    <w:rsid w:val="00AD1311"/>
    <w:pPr>
      <w:jc w:val="right"/>
    </w:pPr>
    <w:rPr>
      <w:sz w:val="17"/>
    </w:rPr>
  </w:style>
  <w:style w:type="character" w:customStyle="1" w:styleId="VoettekstChar">
    <w:name w:val="Voettekst Char"/>
    <w:basedOn w:val="Standaardalinea-lettertype"/>
    <w:link w:val="Voettekst"/>
    <w:uiPriority w:val="99"/>
    <w:semiHidden/>
    <w:rsid w:val="00AD1311"/>
    <w:rPr>
      <w:rFonts w:ascii="Calibri" w:hAnsi="Calibri"/>
      <w:noProof/>
      <w:sz w:val="17"/>
      <w:szCs w:val="21"/>
    </w:rPr>
  </w:style>
  <w:style w:type="paragraph" w:styleId="Ballontekst">
    <w:name w:val="Balloon Text"/>
    <w:basedOn w:val="Standaard"/>
    <w:link w:val="BallontekstChar"/>
    <w:uiPriority w:val="99"/>
    <w:semiHidden/>
    <w:unhideWhenUsed/>
    <w:rsid w:val="00FF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table" w:styleId="Tabelraster">
    <w:name w:val="Table Grid"/>
    <w:basedOn w:val="Standaardtabel"/>
    <w:uiPriority w:val="39"/>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semiHidden/>
    <w:rsid w:val="00CB5830"/>
    <w:pPr>
      <w:autoSpaceDE w:val="0"/>
      <w:autoSpaceDN w:val="0"/>
      <w:adjustRightInd w:val="0"/>
      <w:spacing w:line="240" w:lineRule="auto"/>
    </w:pPr>
    <w:rPr>
      <w:rFonts w:cs="Arial"/>
      <w:sz w:val="31"/>
      <w:szCs w:val="31"/>
    </w:rPr>
  </w:style>
  <w:style w:type="character" w:customStyle="1" w:styleId="TitelChar">
    <w:name w:val="Titel Char"/>
    <w:basedOn w:val="Standaardalinea-lettertype"/>
    <w:link w:val="Titel"/>
    <w:semiHidden/>
    <w:rsid w:val="00A2358B"/>
    <w:rPr>
      <w:rFonts w:ascii="Arial" w:hAnsi="Arial" w:cs="Arial"/>
      <w:noProof/>
      <w:sz w:val="31"/>
      <w:szCs w:val="31"/>
    </w:rPr>
  </w:style>
  <w:style w:type="paragraph" w:styleId="Datum">
    <w:name w:val="Date"/>
    <w:basedOn w:val="Standaard"/>
    <w:next w:val="Standaard"/>
    <w:link w:val="DatumChar"/>
    <w:uiPriority w:val="4"/>
    <w:semiHidden/>
    <w:rsid w:val="00B53FB1"/>
    <w:pPr>
      <w:framePr w:hSpace="340" w:wrap="auto" w:vAnchor="page" w:hAnchor="page" w:x="6351" w:y="568"/>
      <w:suppressOverlap/>
    </w:pPr>
    <w:rPr>
      <w:sz w:val="24"/>
      <w:szCs w:val="24"/>
    </w:rPr>
  </w:style>
  <w:style w:type="character" w:customStyle="1" w:styleId="DatumChar">
    <w:name w:val="Datum Char"/>
    <w:basedOn w:val="Standaardalinea-lettertype"/>
    <w:link w:val="Datum"/>
    <w:uiPriority w:val="4"/>
    <w:semiHidden/>
    <w:rsid w:val="00A2358B"/>
    <w:rPr>
      <w:rFonts w:ascii="Arial" w:hAnsi="Arial"/>
      <w:noProof/>
      <w:sz w:val="24"/>
      <w:szCs w:val="24"/>
    </w:rPr>
  </w:style>
  <w:style w:type="character" w:styleId="Tekstvantijdelijkeaanduiding">
    <w:name w:val="Placeholder Text"/>
    <w:basedOn w:val="Standaardalinea-lettertype"/>
    <w:uiPriority w:val="99"/>
    <w:semiHidden/>
    <w:rsid w:val="001449D0"/>
    <w:rPr>
      <w:color w:val="808080"/>
    </w:rPr>
  </w:style>
  <w:style w:type="paragraph" w:customStyle="1" w:styleId="Lijst-bullets">
    <w:name w:val="Lijst-bullets"/>
    <w:basedOn w:val="Lijstalinea"/>
    <w:qFormat/>
    <w:rsid w:val="001449D0"/>
    <w:pPr>
      <w:numPr>
        <w:numId w:val="1"/>
      </w:numPr>
    </w:pPr>
  </w:style>
  <w:style w:type="paragraph" w:styleId="Lijstalinea">
    <w:name w:val="List Paragraph"/>
    <w:basedOn w:val="Standaard"/>
    <w:uiPriority w:val="34"/>
    <w:semiHidden/>
    <w:rsid w:val="001449D0"/>
    <w:pPr>
      <w:ind w:left="720"/>
      <w:contextualSpacing/>
    </w:pPr>
  </w:style>
  <w:style w:type="paragraph" w:customStyle="1" w:styleId="Tussenkop">
    <w:name w:val="Tussenkop"/>
    <w:basedOn w:val="Standaard"/>
    <w:next w:val="Standaard"/>
    <w:qFormat/>
    <w:rsid w:val="001449D0"/>
    <w:pPr>
      <w:numPr>
        <w:ilvl w:val="1"/>
      </w:numPr>
    </w:pPr>
    <w:rPr>
      <w:b/>
    </w:rPr>
  </w:style>
  <w:style w:type="character" w:styleId="Hyperlink">
    <w:name w:val="Hyperlink"/>
    <w:basedOn w:val="Standaardalinea-lettertype"/>
    <w:uiPriority w:val="99"/>
    <w:rsid w:val="004F3FC8"/>
    <w:rPr>
      <w:color w:val="0563C1" w:themeColor="hyperlink"/>
      <w:u w:val="single"/>
    </w:rPr>
  </w:style>
  <w:style w:type="paragraph" w:styleId="Bijschrift">
    <w:name w:val="caption"/>
    <w:basedOn w:val="Standaard"/>
    <w:next w:val="Standaard"/>
    <w:uiPriority w:val="35"/>
    <w:qFormat/>
    <w:rsid w:val="004760C8"/>
    <w:pPr>
      <w:spacing w:after="270" w:line="240" w:lineRule="auto"/>
    </w:pPr>
    <w:rPr>
      <w:i/>
      <w:iCs/>
      <w:color w:val="000000" w:themeColor="text1"/>
      <w:sz w:val="17"/>
      <w:szCs w:val="18"/>
    </w:rPr>
  </w:style>
  <w:style w:type="paragraph" w:customStyle="1" w:styleId="Koptekst1">
    <w:name w:val="Koptekst1"/>
    <w:basedOn w:val="Standaard"/>
    <w:rsid w:val="00633131"/>
    <w:pPr>
      <w:spacing w:line="250" w:lineRule="exact"/>
    </w:pPr>
  </w:style>
  <w:style w:type="paragraph" w:customStyle="1" w:styleId="Header-item">
    <w:name w:val="Header-item"/>
    <w:basedOn w:val="Koptekst1"/>
    <w:rsid w:val="00410FE0"/>
    <w:pPr>
      <w:spacing w:line="270" w:lineRule="exact"/>
    </w:pPr>
    <w:rPr>
      <w:b/>
      <w:sz w:val="17"/>
    </w:rPr>
  </w:style>
  <w:style w:type="paragraph" w:customStyle="1" w:styleId="Lijst-streep-1">
    <w:name w:val="Lijst-streep-1"/>
    <w:basedOn w:val="Standaard"/>
    <w:qFormat/>
    <w:rsid w:val="00CB093F"/>
    <w:pPr>
      <w:numPr>
        <w:numId w:val="3"/>
      </w:numPr>
    </w:pPr>
  </w:style>
  <w:style w:type="paragraph" w:customStyle="1" w:styleId="Lijst-cijfers">
    <w:name w:val="Lijst-cijfers"/>
    <w:basedOn w:val="Standaard"/>
    <w:qFormat/>
    <w:rsid w:val="00A2358B"/>
    <w:pPr>
      <w:numPr>
        <w:numId w:val="5"/>
      </w:numPr>
    </w:pPr>
  </w:style>
  <w:style w:type="paragraph" w:customStyle="1" w:styleId="Lijst-streep-2">
    <w:name w:val="Lijst-streep-2"/>
    <w:basedOn w:val="Standaard"/>
    <w:qFormat/>
    <w:rsid w:val="00A2358B"/>
    <w:pPr>
      <w:numPr>
        <w:ilvl w:val="1"/>
        <w:numId w:val="3"/>
      </w:numPr>
    </w:pPr>
  </w:style>
  <w:style w:type="paragraph" w:customStyle="1" w:styleId="Lijst-streep-3">
    <w:name w:val="Lijst-streep-3"/>
    <w:basedOn w:val="Standaard"/>
    <w:qFormat/>
    <w:rsid w:val="00A2358B"/>
    <w:pPr>
      <w:numPr>
        <w:ilvl w:val="2"/>
        <w:numId w:val="3"/>
      </w:numPr>
    </w:pPr>
  </w:style>
  <w:style w:type="paragraph" w:customStyle="1" w:styleId="Lijst-letters">
    <w:name w:val="Lijst-letters"/>
    <w:basedOn w:val="Standaard"/>
    <w:qFormat/>
    <w:rsid w:val="00CB093F"/>
    <w:pPr>
      <w:numPr>
        <w:numId w:val="20"/>
      </w:numPr>
    </w:pPr>
    <w:rPr>
      <w:rFonts w:cs="Calibri"/>
    </w:rPr>
  </w:style>
  <w:style w:type="paragraph" w:customStyle="1" w:styleId="Header-tekst">
    <w:name w:val="Header-tekst"/>
    <w:basedOn w:val="Standaard"/>
    <w:rsid w:val="00410FE0"/>
    <w:pPr>
      <w:spacing w:line="270" w:lineRule="exact"/>
    </w:pPr>
  </w:style>
  <w:style w:type="paragraph" w:customStyle="1" w:styleId="Onderwerp">
    <w:name w:val="Onderwerp"/>
    <w:basedOn w:val="Standaard"/>
    <w:uiPriority w:val="1"/>
    <w:qFormat/>
    <w:rsid w:val="0001300E"/>
    <w:pPr>
      <w:spacing w:after="540"/>
    </w:pPr>
    <w:rPr>
      <w:b/>
      <w:sz w:val="28"/>
      <w:szCs w:val="28"/>
    </w:rPr>
  </w:style>
  <w:style w:type="table" w:customStyle="1" w:styleId="Vervoerregio">
    <w:name w:val="Vervoerregio"/>
    <w:basedOn w:val="Standaardtabel"/>
    <w:uiPriority w:val="99"/>
    <w:rsid w:val="0047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rPr>
        <w:b/>
      </w:rPr>
    </w:tblStylePr>
  </w:style>
  <w:style w:type="paragraph" w:styleId="Geenafstand">
    <w:name w:val="No Spacing"/>
    <w:uiPriority w:val="1"/>
    <w:qFormat/>
    <w:rsid w:val="005275FC"/>
    <w:pPr>
      <w:spacing w:after="0" w:line="240" w:lineRule="auto"/>
    </w:pPr>
  </w:style>
  <w:style w:type="paragraph" w:styleId="Voetnoottekst">
    <w:name w:val="footnote text"/>
    <w:basedOn w:val="Standaard"/>
    <w:link w:val="VoetnoottekstChar"/>
    <w:uiPriority w:val="99"/>
    <w:semiHidden/>
    <w:unhideWhenUsed/>
    <w:rsid w:val="005275FC"/>
    <w:pPr>
      <w:spacing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5275FC"/>
    <w:rPr>
      <w:sz w:val="20"/>
      <w:szCs w:val="20"/>
    </w:rPr>
  </w:style>
  <w:style w:type="character" w:styleId="Voetnootmarkering">
    <w:name w:val="footnote reference"/>
    <w:basedOn w:val="Standaardalinea-lettertype"/>
    <w:uiPriority w:val="99"/>
    <w:semiHidden/>
    <w:unhideWhenUsed/>
    <w:rsid w:val="00527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ijnemenjemee.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a.local\DFS\Data\APPL\Templates\Word\Mem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EB80F1D37AA48BF1615140575336E" ma:contentTypeVersion="10" ma:contentTypeDescription="Create a new document." ma:contentTypeScope="" ma:versionID="338d532c722efca9a0ae3f8d7857b510">
  <xsd:schema xmlns:xsd="http://www.w3.org/2001/XMLSchema" xmlns:xs="http://www.w3.org/2001/XMLSchema" xmlns:p="http://schemas.microsoft.com/office/2006/metadata/properties" xmlns:ns2="746d4575-c5d4-439d-b01b-7e6265ff9bc3" xmlns:ns3="1433fa36-e8b4-4b68-beaf-4cdc379ab56b" targetNamespace="http://schemas.microsoft.com/office/2006/metadata/properties" ma:root="true" ma:fieldsID="47345778f8299103737b5dad64c62150" ns2:_="" ns3:_="">
    <xsd:import namespace="746d4575-c5d4-439d-b01b-7e6265ff9bc3"/>
    <xsd:import namespace="1433fa36-e8b4-4b68-beaf-4cdc379ab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4575-c5d4-439d-b01b-7e6265ff9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3fa36-e8b4-4b68-beaf-4cdc379ab5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C5BE3D-9460-4655-8B90-212EDBE1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4575-c5d4-439d-b01b-7e6265ff9bc3"/>
    <ds:schemaRef ds:uri="1433fa36-e8b4-4b68-beaf-4cdc379ab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B33FA-47B0-498F-B83A-BA128F31DD78}">
  <ds:schemaRefs>
    <ds:schemaRef ds:uri="746d4575-c5d4-439d-b01b-7e6265ff9bc3"/>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1433fa36-e8b4-4b68-beaf-4cdc379ab56b"/>
    <ds:schemaRef ds:uri="http://purl.org/dc/elements/1.1/"/>
  </ds:schemaRefs>
</ds:datastoreItem>
</file>

<file path=customXml/itemProps4.xml><?xml version="1.0" encoding="utf-8"?>
<ds:datastoreItem xmlns:ds="http://schemas.openxmlformats.org/officeDocument/2006/customXml" ds:itemID="{73F93E8A-50F5-4292-8BED-3CE353056F25}">
  <ds:schemaRefs>
    <ds:schemaRef ds:uri="http://schemas.microsoft.com/sharepoint/v3/contenttype/forms"/>
  </ds:schemaRefs>
</ds:datastoreItem>
</file>

<file path=customXml/itemProps5.xml><?xml version="1.0" encoding="utf-8"?>
<ds:datastoreItem xmlns:ds="http://schemas.openxmlformats.org/officeDocument/2006/customXml" ds:itemID="{42B877FD-AFA3-4F4C-A8ED-A4A5EF36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1715</Words>
  <Characters>9437</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Knigge</dc:creator>
  <cp:lastModifiedBy>Steven Pots</cp:lastModifiedBy>
  <cp:revision>2</cp:revision>
  <cp:lastPrinted>2019-05-23T13:25:00Z</cp:lastPrinted>
  <dcterms:created xsi:type="dcterms:W3CDTF">2019-05-24T10:39:00Z</dcterms:created>
  <dcterms:modified xsi:type="dcterms:W3CDTF">2019-05-24T10:39:00Z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0x010100C80EB80F1D37AA48BF1615140575336E</vt:lpwstr>
  </property>
</Properties>
</file>